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rPr>
          <w:b/>
          <w:bCs/>
          <w:color w:val="1F3864"/>
          <w:sz w:val="44"/>
          <w:szCs w:val="44"/>
        </w:rPr>
        <w:t xml:space="preserve">SHA-PLAN</w:t>
      </w:r>
    </w:p>
    <w:p>
      <w:pPr>
        <w:spacing w:after="60"/>
        <w:jc w:val="center"/>
      </w:pPr>
      <w:r>
        <w:rPr>
          <w:b w:val="false"/>
          <w:bCs w:val="false"/>
          <w:i w:val="false"/>
          <w:iCs w:val="false"/>
          <w:sz w:val="24"/>
          <w:szCs w:val="24"/>
        </w:rPr>
        <w:t xml:space="preserve">Plan for sikkerhet, helse og arbeidsmiljø</w:t>
      </w:r>
    </w:p>
    <w:p>
      <w:pPr>
        <w:spacing w:after="60"/>
        <w:jc w:val="center"/>
      </w:pPr>
      <w:r>
        <w:rPr>
          <w:b w:val="false"/>
          <w:bCs w:val="false"/>
          <w:i w:val="false"/>
          <w:iCs w:val="false"/>
          <w:sz w:val="24"/>
          <w:szCs w:val="24"/>
        </w:rPr>
        <w:t xml:space="preserve">Rehabilitering fasade sør – Bygg 160</w:t>
      </w:r>
    </w:p>
    <w:p>
      <w:pPr>
        <w:spacing w:after="60"/>
        <w:jc w:val="center"/>
      </w:pPr>
      <w:r>
        <w:rPr>
          <w:b w:val="false"/>
          <w:bCs w:val="false"/>
          <w:i/>
          <w:iCs/>
          <w:sz w:val="24"/>
          <w:szCs w:val="24"/>
        </w:rPr>
        <w:t xml:space="preserve">Forenklet betongrehabilitering og vindustilbakeføring – fredet bygg</w:t>
      </w:r>
    </w:p>
    <w:p>
      <w:pPr>
        <w:spacing w:after="60"/>
        <w:jc w:val="center"/>
      </w:pPr>
      <w:r>
        <w:rPr>
          <w:b/>
          <w:bCs/>
          <w:i w:val="false"/>
          <w:iCs w:val="false"/>
          <w:sz w:val="24"/>
          <w:szCs w:val="24"/>
        </w:rPr>
        <w:t xml:space="preserve">Dekker hovedentreprise Blokk B og E, med egne opsjonsavsnitt for Bygg H (O-2) og Blokk J (O-3)</w:t>
      </w:r>
    </w:p>
    <w:p>
      <w:pPr>
        <w:spacing w:after="60"/>
        <w:jc w:val="center"/>
      </w:pPr>
      <w:r>
        <w:rPr>
          <w:b w:val="false"/>
          <w:bCs w:val="false"/>
          <w:i/>
          <w:iCs/>
          <w:sz w:val="24"/>
          <w:szCs w:val="24"/>
        </w:rPr>
        <w:t xml:space="preserve">Planen dekker hovedentreprisen (Blokk B og E). Avsnitt merket opsjon O-2 (Bygg H) og opsjon O-3 (Blokk J) gjelder kun dersom den aktuelle opsjonen utløses; ellers kan de ses bort fra.</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6"/>
        <w:gridCol w:w="6520"/>
      </w:tblGrid>
      <w:tr>
        <w:trPr>
          <w:tblHeader/>
        </w:trPr>
        <w:tc>
          <w:tcPr>
            <w:tcW w:type="dxa" w:w="25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Oppdragsgiver (byggherre)</w:t>
            </w:r>
          </w:p>
        </w:tc>
        <w:tc>
          <w:tcPr>
            <w:tcW w:type="dxa" w:w="6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Vannfronten Eiendom AS</w:t>
            </w:r>
          </w:p>
        </w:tc>
      </w:tr>
      <w:tr>
        <w:trPr>
          <w:tblHeader w:val="false"/>
        </w:trPr>
        <w:tc>
          <w:tcPr>
            <w:tcW w:type="dxa" w:w="25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Prosjekt</w:t>
            </w:r>
          </w:p>
        </w:tc>
        <w:tc>
          <w:tcPr>
            <w:tcW w:type="dxa" w:w="6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Rehabilitering fasade sør – Bygg 160</w:t>
            </w:r>
          </w:p>
        </w:tc>
      </w:tr>
      <w:tr>
        <w:trPr>
          <w:tblHeader w:val="false"/>
        </w:trPr>
        <w:tc>
          <w:tcPr>
            <w:tcW w:type="dxa" w:w="25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Adresse / gnr.bnr</w:t>
            </w:r>
          </w:p>
        </w:tc>
        <w:tc>
          <w:tcPr>
            <w:tcW w:type="dxa" w:w="6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[Adresse]  │  Gnr./Bnr.: 243/526/3</w:t>
            </w:r>
          </w:p>
        </w:tc>
      </w:tr>
      <w:tr>
        <w:trPr>
          <w:tblHeader w:val="false"/>
        </w:trPr>
        <w:tc>
          <w:tcPr>
            <w:tcW w:type="dxa" w:w="25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Tegningsreferanse</w:t>
            </w:r>
          </w:p>
        </w:tc>
        <w:tc>
          <w:tcPr>
            <w:tcW w:type="dxa" w:w="6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A40-101 Fasade Sør (hele sørfasaden inkl. Blokk J) og AE20-104 Takplan, Sør Arkitekter AS, 02.06.2026</w:t>
            </w:r>
          </w:p>
        </w:tc>
      </w:tr>
      <w:tr>
        <w:trPr>
          <w:tblHeader w:val="false"/>
        </w:trPr>
        <w:tc>
          <w:tcPr>
            <w:tcW w:type="dxa" w:w="25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SHA-koordinator prosjektering</w:t>
            </w:r>
          </w:p>
        </w:tc>
        <w:tc>
          <w:tcPr>
            <w:tcW w:type="dxa" w:w="6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[Utpekes av byggherre]</w:t>
            </w:r>
          </w:p>
        </w:tc>
      </w:tr>
      <w:tr>
        <w:trPr>
          <w:tblHeader w:val="false"/>
        </w:trPr>
        <w:tc>
          <w:tcPr>
            <w:tcW w:type="dxa" w:w="25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SHA-koordinator utførelse</w:t>
            </w:r>
          </w:p>
        </w:tc>
        <w:tc>
          <w:tcPr>
            <w:tcW w:type="dxa" w:w="6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[Utpekes av byggherre]</w:t>
            </w:r>
          </w:p>
        </w:tc>
      </w:tr>
      <w:tr>
        <w:trPr>
          <w:tblHeader w:val="false"/>
        </w:trPr>
        <w:tc>
          <w:tcPr>
            <w:tcW w:type="dxa" w:w="25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Utarbeidet av</w:t>
            </w:r>
          </w:p>
        </w:tc>
        <w:tc>
          <w:tcPr>
            <w:tcW w:type="dxa" w:w="6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[Navn]</w:t>
            </w:r>
          </w:p>
        </w:tc>
      </w:tr>
      <w:tr>
        <w:trPr>
          <w:tblHeader w:val="false"/>
        </w:trPr>
        <w:tc>
          <w:tcPr>
            <w:tcW w:type="dxa" w:w="25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Dato</w:t>
            </w:r>
          </w:p>
        </w:tc>
        <w:tc>
          <w:tcPr>
            <w:tcW w:type="dxa" w:w="6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[DD.MM.ÅÅÅÅ]</w:t>
            </w:r>
          </w:p>
        </w:tc>
      </w:tr>
      <w:tr>
        <w:trPr>
          <w:tblHeader w:val="false"/>
        </w:trPr>
        <w:tc>
          <w:tcPr>
            <w:tcW w:type="dxa" w:w="25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Versjon</w:t>
            </w:r>
          </w:p>
        </w:tc>
        <w:tc>
          <w:tcPr>
            <w:tcW w:type="dxa" w:w="6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1.0</w:t>
            </w:r>
          </w:p>
        </w:tc>
      </w:tr>
      <w:tr>
        <w:trPr>
          <w:tblHeader w:val="false"/>
        </w:trPr>
        <w:tc>
          <w:tcPr>
            <w:tcW w:type="dxa" w:w="25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Revisjonsdato</w:t>
            </w:r>
          </w:p>
        </w:tc>
        <w:tc>
          <w:tcPr>
            <w:tcW w:type="dxa" w:w="6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[DD.MM.ÅÅÅÅ]</w:t>
            </w:r>
          </w:p>
        </w:tc>
      </w:tr>
    </w:tbl>
    <w:p>
      <w:pPr>
        <w:spacing w:after="80"/>
      </w:pPr>
      <w:r>
        <w:rPr>
          <w:sz w:val="8"/>
          <w:szCs w:val="8"/>
        </w:rPr>
        <w:t xml:space="preserve"/>
      </w:r>
    </w:p>
    <w:p>
      <w:pPr>
        <w:spacing w:after="100"/>
      </w:pPr>
      <w:r>
        <w:rPr>
          <w:b/>
          <w:bCs/>
          <w:i w:val="false"/>
          <w:iCs w:val="false"/>
          <w:sz w:val="20"/>
          <w:szCs w:val="20"/>
        </w:rPr>
        <w:t xml:space="preserve">Denne SHA-planen er utarbeidet av Vannfronten Eiendom AS som byggherre iht. Byggherreforskriften §§ 6 og 8. Planen er obligatorisk for dette prosjektet og skal være kjent for og tilgjengelig for alle som utfører arbeid på byggeplassen.</w:t>
      </w:r>
    </w:p>
    <w:p>
      <w:pPr>
        <w:pStyle w:val="Heading1"/>
      </w:pPr>
      <w:r>
        <w:rPr>
          <w:b/>
          <w:bCs/>
          <w:i w:val="false"/>
          <w:iCs w:val="false"/>
          <w:sz w:val="28"/>
          <w:szCs w:val="28"/>
        </w:rPr>
        <w:t xml:space="preserve">1. Lovgrunnlag og byggherrens plikter</w:t>
      </w:r>
    </w:p>
    <w:p>
      <w:pPr>
        <w:spacing w:after="100"/>
      </w:pPr>
      <w:r>
        <w:rPr>
          <w:b w:val="false"/>
          <w:bCs w:val="false"/>
          <w:i w:val="false"/>
          <w:iCs w:val="false"/>
          <w:sz w:val="20"/>
          <w:szCs w:val="20"/>
        </w:rPr>
        <w:t xml:space="preserve">SHA-planen er utarbeidet i tråd med Byggherreforskriften (FOR-2009-8-3-1028). Tabellen nedenfor gjengir de sentrale paragrafene og angir hvordan Vannfronten Eiendom AS oppfyller kravene i dette prosjektet.</w:t>
      </w:r>
    </w:p>
    <w:p>
      <w:pPr>
        <w:pStyle w:val="Heading2"/>
      </w:pPr>
      <w:r>
        <w:rPr>
          <w:b/>
          <w:bCs/>
          <w:i w:val="false"/>
          <w:iCs w:val="false"/>
          <w:sz w:val="24"/>
          <w:szCs w:val="24"/>
        </w:rPr>
        <w:t xml:space="preserve">§ 4 – Byggherrens overordnede plikter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6"/>
        <w:gridCol w:w="6520"/>
      </w:tblGrid>
      <w:tr>
        <w:trPr>
          <w:tblHeader/>
        </w:trPr>
        <w:tc>
          <w:tcPr>
            <w:tcW w:type="dxa" w:w="25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 4</w:t>
            </w:r>
          </w:p>
        </w:tc>
        <w:tc>
          <w:tcPr>
            <w:tcW w:type="dxa" w:w="6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Byggherren skal sørge for at hensynet til sikkerhet, helse og arbeidsmiljø på bygge- eller anleggsplassen blir ivaretatt. Byggherren skal påse at de som utfører arbeid på byggeplassen har kompetanse og ressurser til å overholde kravene i denne forskriften.</w:t>
            </w:r>
          </w:p>
        </w:tc>
      </w:tr>
    </w:tbl>
    <w:p>
      <w:pPr>
        <w:spacing w:after="80"/>
      </w:pPr>
      <w:r>
        <w:rPr>
          <w:sz w:val="8"/>
          <w:szCs w:val="8"/>
        </w:rPr>
        <w:t xml:space="preserve"/>
      </w:r>
    </w:p>
    <w:p>
      <w:pPr>
        <w:pBdr>
          <w:left w:val="single" w:color="70AD47" w:sz="18" w:space="8"/>
        </w:pBdr>
        <w:shd w:fill="F2F7EC" w:val="clear"/>
        <w:spacing w:after="120" w:before="40"/>
        <w:ind w:left="120"/>
      </w:pPr>
      <w:r>
        <w:rPr>
          <w:b/>
          <w:bCs/>
          <w:color w:val="548235"/>
          <w:sz w:val="20"/>
          <w:szCs w:val="20"/>
        </w:rPr>
        <w:t xml:space="preserve">Oppfyllelse:  </w:t>
      </w:r>
      <w:r>
        <w:rPr>
          <w:b w:val="false"/>
          <w:bCs w:val="false"/>
          <w:i w:val="false"/>
          <w:iCs w:val="false"/>
          <w:sz w:val="20"/>
          <w:szCs w:val="20"/>
        </w:rPr>
        <w:t xml:space="preserve">Vannfronten Eiendom AS ivaretar denne plikten gjennom utpeking av SHA-koordinator, utarbeidelse av denne SHA-plan, og gjennom krav til kvalifikasjoner i anskaffelsesdokumentet (erfaring fra fredet bygg, lærlingkrav, TFK-krav).</w:t>
      </w:r>
    </w:p>
    <w:p>
      <w:pPr>
        <w:pStyle w:val="Heading2"/>
      </w:pPr>
      <w:r>
        <w:rPr>
          <w:b/>
          <w:bCs/>
          <w:i w:val="false"/>
          <w:iCs w:val="false"/>
          <w:sz w:val="24"/>
          <w:szCs w:val="24"/>
        </w:rPr>
        <w:t xml:space="preserve">§ 5 – Særlig farlige arbeider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6"/>
        <w:gridCol w:w="6520"/>
      </w:tblGrid>
      <w:tr>
        <w:trPr>
          <w:tblHeader/>
        </w:trPr>
        <w:tc>
          <w:tcPr>
            <w:tcW w:type="dxa" w:w="25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 5</w:t>
            </w:r>
          </w:p>
        </w:tc>
        <w:tc>
          <w:tcPr>
            <w:tcW w:type="dxa" w:w="6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Byggherren skal særlig vurdere arbeid som innebærer fare for helseskadelig eksponering for støv, gass, støy eller vibrasjoner – og treffe nødvendige tiltak for å redusere slik risiko.</w:t>
            </w:r>
          </w:p>
        </w:tc>
      </w:tr>
    </w:tbl>
    <w:p>
      <w:pPr>
        <w:spacing w:after="80"/>
      </w:pPr>
      <w:r>
        <w:rPr>
          <w:sz w:val="8"/>
          <w:szCs w:val="8"/>
        </w:rPr>
        <w:t xml:space="preserve"/>
      </w:r>
    </w:p>
    <w:p>
      <w:pPr>
        <w:pBdr>
          <w:left w:val="single" w:color="70AD47" w:sz="18" w:space="8"/>
        </w:pBdr>
        <w:shd w:fill="F2F7EC" w:val="clear"/>
        <w:spacing w:after="120" w:before="40"/>
        <w:ind w:left="120"/>
      </w:pPr>
      <w:r>
        <w:rPr>
          <w:b/>
          <w:bCs/>
          <w:color w:val="548235"/>
          <w:sz w:val="20"/>
          <w:szCs w:val="20"/>
        </w:rPr>
        <w:t xml:space="preserve">Oppfyllelse:  </w:t>
      </w:r>
      <w:r>
        <w:rPr>
          <w:b w:val="false"/>
          <w:bCs w:val="false"/>
          <w:i w:val="false"/>
          <w:iCs w:val="false"/>
          <w:sz w:val="20"/>
          <w:szCs w:val="20"/>
        </w:rPr>
        <w:t xml:space="preserve">Pigging av betong på fredet bygg medfører høy kvartseksponering. Vannfronten Eiendom AS har vurdert dette som særlig farlig arbeid og stiller konkrete krav til støvdempende tiltak i tilbudsgrunnlag og SHA-plan – kravene er ikke overlatt til entreprenøren alene. Se pkt. 5.1.</w:t>
      </w:r>
    </w:p>
    <w:p>
      <w:pPr>
        <w:pStyle w:val="Heading2"/>
      </w:pPr>
      <w:r>
        <w:rPr>
          <w:b/>
          <w:bCs/>
          <w:i w:val="false"/>
          <w:iCs w:val="false"/>
          <w:sz w:val="24"/>
          <w:szCs w:val="24"/>
        </w:rPr>
        <w:t xml:space="preserve">§ 6 – Innarbeiding av risikoforhold i tilbudsgrunnlaget</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6"/>
        <w:gridCol w:w="6520"/>
      </w:tblGrid>
      <w:tr>
        <w:trPr>
          <w:tblHeader/>
        </w:trPr>
        <w:tc>
          <w:tcPr>
            <w:tcW w:type="dxa" w:w="25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 6</w:t>
            </w:r>
          </w:p>
        </w:tc>
        <w:tc>
          <w:tcPr>
            <w:tcW w:type="dxa" w:w="6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Byggherren skal innarbeide de risikoforholdene som er avdekket under planlegging og prosjektering, og som ikke er fjernet, i tilbudsgrunnlaget. Risikoforholdene skal beskrives slik at tilbyderne kan ta hensyn til dem i sitt tilbud og sin prissetting.</w:t>
            </w:r>
          </w:p>
        </w:tc>
      </w:tr>
    </w:tbl>
    <w:p>
      <w:pPr>
        <w:spacing w:after="80"/>
      </w:pPr>
      <w:r>
        <w:rPr>
          <w:sz w:val="8"/>
          <w:szCs w:val="8"/>
        </w:rPr>
        <w:t xml:space="preserve"/>
      </w:r>
    </w:p>
    <w:p>
      <w:pPr>
        <w:pBdr>
          <w:left w:val="single" w:color="70AD47" w:sz="18" w:space="8"/>
        </w:pBdr>
        <w:shd w:fill="F2F7EC" w:val="clear"/>
        <w:spacing w:after="120" w:before="40"/>
        <w:ind w:left="120"/>
      </w:pPr>
      <w:r>
        <w:rPr>
          <w:b/>
          <w:bCs/>
          <w:color w:val="548235"/>
          <w:sz w:val="20"/>
          <w:szCs w:val="20"/>
        </w:rPr>
        <w:t xml:space="preserve">Oppfyllelse:  </w:t>
      </w:r>
      <w:r>
        <w:rPr>
          <w:b w:val="false"/>
          <w:bCs w:val="false"/>
          <w:i w:val="false"/>
          <w:iCs w:val="false"/>
          <w:sz w:val="20"/>
          <w:szCs w:val="20"/>
        </w:rPr>
        <w:t xml:space="preserve">Risikoforholdene nedenfor er avdekket i planleggingsfasen og er innarbeidet i kravspesifikasjonen (Vedlegg til konkurransedokumentet): kvartseksponering ved pigging, armeringsrensing og sandblåsing; arbeid på fredet fasade; krav til støvdempende utstyr og PVU. Tilbyderne er bedt om å prise disse tiltakene i sitt tilbud.</w:t>
      </w:r>
    </w:p>
    <w:p>
      <w:pPr>
        <w:pStyle w:val="Heading2"/>
      </w:pPr>
      <w:r>
        <w:rPr>
          <w:b/>
          <w:bCs/>
          <w:i w:val="false"/>
          <w:iCs w:val="false"/>
          <w:sz w:val="24"/>
          <w:szCs w:val="24"/>
        </w:rPr>
        <w:t xml:space="preserve">§ 7 – Utpeking av koordinatorer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6"/>
        <w:gridCol w:w="6520"/>
      </w:tblGrid>
      <w:tr>
        <w:trPr>
          <w:tblHeader/>
        </w:trPr>
        <w:tc>
          <w:tcPr>
            <w:tcW w:type="dxa" w:w="25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 7</w:t>
            </w:r>
          </w:p>
        </w:tc>
        <w:tc>
          <w:tcPr>
            <w:tcW w:type="dxa" w:w="6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Byggherren skal utpeke koordinator for sikkerhet, helse og arbeidsmiljø for prosjekteringsfasen (KP) og for utførelsesfasen (KU) når det skal utføres arbeider som kan medføre særlig fare, eller når det er mer enn én virksomhet til stede på byggeplassen.</w:t>
            </w:r>
          </w:p>
        </w:tc>
      </w:tr>
    </w:tbl>
    <w:p>
      <w:pPr>
        <w:spacing w:after="80"/>
      </w:pPr>
      <w:r>
        <w:rPr>
          <w:sz w:val="8"/>
          <w:szCs w:val="8"/>
        </w:rPr>
        <w:t xml:space="preserve"/>
      </w:r>
    </w:p>
    <w:p>
      <w:pPr>
        <w:pBdr>
          <w:left w:val="single" w:color="70AD47" w:sz="18" w:space="8"/>
        </w:pBdr>
        <w:shd w:fill="F2F7EC" w:val="clear"/>
        <w:spacing w:after="120" w:before="40"/>
        <w:ind w:left="120"/>
      </w:pPr>
      <w:r>
        <w:rPr>
          <w:b/>
          <w:bCs/>
          <w:color w:val="548235"/>
          <w:sz w:val="20"/>
          <w:szCs w:val="20"/>
        </w:rPr>
        <w:t xml:space="preserve">Oppfyllelse:  </w:t>
      </w:r>
      <w:r>
        <w:rPr>
          <w:b w:val="false"/>
          <w:bCs w:val="false"/>
          <w:i w:val="false"/>
          <w:iCs w:val="false"/>
          <w:sz w:val="20"/>
          <w:szCs w:val="20"/>
        </w:rPr>
        <w:t xml:space="preserve">Vannfronten Eiendom AS utpeker SHA-koordinator for prosjektering (KP) og utførelse (KU), jf. organisasjonskartet i pkt. 3. KU har ansvar for å ajourføre SHA-planen under utførelse og samordne HMS-arbeidet mellom virksomhetene på byggeplassen.</w:t>
      </w:r>
    </w:p>
    <w:p>
      <w:pPr>
        <w:pStyle w:val="Heading2"/>
      </w:pPr>
      <w:r>
        <w:rPr>
          <w:b/>
          <w:bCs/>
          <w:i w:val="false"/>
          <w:iCs w:val="false"/>
          <w:sz w:val="24"/>
          <w:szCs w:val="24"/>
        </w:rPr>
        <w:t xml:space="preserve">§ 8 – Krav til SHA-planens innhold</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6"/>
        <w:gridCol w:w="6520"/>
      </w:tblGrid>
      <w:tr>
        <w:trPr>
          <w:tblHeader/>
        </w:trPr>
        <w:tc>
          <w:tcPr>
            <w:tcW w:type="dxa" w:w="25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 8</w:t>
            </w:r>
          </w:p>
        </w:tc>
        <w:tc>
          <w:tcPr>
            <w:tcW w:type="dxa" w:w="6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SHA-planen skal beskrive hvordan risikoforholdene som følger av byggherrens og de prosjekterendes valg, skal håndteres. Planen skal bygge på risikovurderinger og inneholde: a) et organisasjonskart, b) en fremdriftsplan for de ulike arbeidsoperasjoner, c) en beskrivelse av de spesifikke tiltakene som er nødvendige for å redusere fare for liv og helse forbundet med bl.a. nr. 13: arbeid som innebærer fare for helseskadelig eksponering for støv, gass, støy eller vibrasjoner.</w:t>
            </w:r>
          </w:p>
        </w:tc>
      </w:tr>
    </w:tbl>
    <w:p>
      <w:pPr>
        <w:spacing w:after="80"/>
      </w:pPr>
      <w:r>
        <w:rPr>
          <w:sz w:val="8"/>
          <w:szCs w:val="8"/>
        </w:rPr>
        <w:t xml:space="preserve"/>
      </w:r>
    </w:p>
    <w:p>
      <w:pPr>
        <w:pBdr>
          <w:left w:val="single" w:color="70AD47" w:sz="18" w:space="8"/>
        </w:pBdr>
        <w:shd w:fill="F2F7EC" w:val="clear"/>
        <w:spacing w:after="120" w:before="40"/>
        <w:ind w:left="120"/>
      </w:pPr>
      <w:r>
        <w:rPr>
          <w:b/>
          <w:bCs/>
          <w:color w:val="548235"/>
          <w:sz w:val="20"/>
          <w:szCs w:val="20"/>
        </w:rPr>
        <w:t xml:space="preserve">Oppfyllelse:  </w:t>
      </w:r>
      <w:r>
        <w:rPr>
          <w:b w:val="false"/>
          <w:bCs w:val="false"/>
          <w:i w:val="false"/>
          <w:iCs w:val="false"/>
          <w:sz w:val="20"/>
          <w:szCs w:val="20"/>
        </w:rPr>
        <w:t xml:space="preserve">SHA-planen oppfyller krav til innhold slik: organisasjonskart i pkt. 3, fremdriftsplan i pkt. 4, risikovurdering og spesifikke tiltak mot støv (kvartseksponering), fall, kjemisk eksponering og antikvariske arbeider i pkt. 5 og 6.</w:t>
      </w:r>
    </w:p>
    <w:p>
      <w:pPr>
        <w:pStyle w:val="Heading2"/>
      </w:pPr>
      <w:r>
        <w:rPr>
          <w:b/>
          <w:bCs/>
          <w:i w:val="false"/>
          <w:iCs w:val="false"/>
          <w:sz w:val="24"/>
          <w:szCs w:val="24"/>
        </w:rPr>
        <w:t xml:space="preserve">§ 14 – Samordning og oppdatering</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6"/>
        <w:gridCol w:w="6520"/>
      </w:tblGrid>
      <w:tr>
        <w:trPr>
          <w:tblHeader/>
        </w:trPr>
        <w:tc>
          <w:tcPr>
            <w:tcW w:type="dxa" w:w="25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 14</w:t>
            </w:r>
          </w:p>
        </w:tc>
        <w:tc>
          <w:tcPr>
            <w:tcW w:type="dxa" w:w="6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SHA-koordinatoren for utførelsesfasen skal samordne gjennomføringen av tiltakene i SHA-planen, ajourføre planen med de endringer som er nødvendige, og sørge for at alle virksomheter på byggeplassen til enhver tid kjenner til planen og arbeider etter den.</w:t>
            </w:r>
          </w:p>
        </w:tc>
      </w:tr>
    </w:tbl>
    <w:p>
      <w:pPr>
        <w:spacing w:after="80"/>
      </w:pPr>
      <w:r>
        <w:rPr>
          <w:sz w:val="8"/>
          <w:szCs w:val="8"/>
        </w:rPr>
        <w:t xml:space="preserve"/>
      </w:r>
    </w:p>
    <w:p>
      <w:pPr>
        <w:pBdr>
          <w:left w:val="single" w:color="70AD47" w:sz="18" w:space="8"/>
        </w:pBdr>
        <w:shd w:fill="F2F7EC" w:val="clear"/>
        <w:spacing w:after="120" w:before="40"/>
        <w:ind w:left="120"/>
      </w:pPr>
      <w:r>
        <w:rPr>
          <w:b/>
          <w:bCs/>
          <w:color w:val="548235"/>
          <w:sz w:val="20"/>
          <w:szCs w:val="20"/>
        </w:rPr>
        <w:t xml:space="preserve">Oppfyllelse:  </w:t>
      </w:r>
      <w:r>
        <w:rPr>
          <w:b w:val="false"/>
          <w:bCs w:val="false"/>
          <w:i w:val="false"/>
          <w:iCs w:val="false"/>
          <w:sz w:val="20"/>
          <w:szCs w:val="20"/>
        </w:rPr>
        <w:t xml:space="preserve">KU ajourfører SHA-planen ved endringer i prosjektet, etter ulykker/nestenulykker, og etter vernerunder. Alle virksomheter signerer på at planen er kjent, jf. signaturside i pkt. 10.</w:t>
      </w:r>
    </w:p>
    <w:p>
      <w:pPr>
        <w:pStyle w:val="Heading2"/>
      </w:pPr>
      <w:r>
        <w:rPr>
          <w:b/>
          <w:bCs/>
          <w:i w:val="false"/>
          <w:iCs w:val="false"/>
          <w:sz w:val="24"/>
          <w:szCs w:val="24"/>
        </w:rPr>
        <w:t xml:space="preserve">Øvrig lovgrunnlag</w:t>
      </w:r>
    </w:p>
    <w:p>
      <w:pPr>
        <w:pStyle w:val="ListParagraph"/>
        <w:numPr>
          <w:ilvl w:val="0"/>
          <w:numId w:val="2"/>
        </w:numPr>
        <w:spacing w:after="40"/>
      </w:pPr>
      <w:r>
        <w:rPr>
          <w:b w:val="false"/>
          <w:bCs w:val="false"/>
          <w:i w:val="false"/>
          <w:iCs w:val="false"/>
          <w:sz w:val="20"/>
          <w:szCs w:val="20"/>
        </w:rPr>
        <w:t xml:space="preserve">Arbeidsmiljøloven § 2-2: Arbeidsgivers ansvar for egne arbeidstakere på felles arbeidsplass</w:t>
      </w:r>
    </w:p>
    <w:p>
      <w:pPr>
        <w:pStyle w:val="ListParagraph"/>
        <w:numPr>
          <w:ilvl w:val="0"/>
          <w:numId w:val="2"/>
        </w:numPr>
        <w:spacing w:after="40"/>
      </w:pPr>
      <w:r>
        <w:rPr>
          <w:b w:val="false"/>
          <w:bCs w:val="false"/>
          <w:i w:val="false"/>
          <w:iCs w:val="false"/>
          <w:sz w:val="20"/>
          <w:szCs w:val="20"/>
        </w:rPr>
        <w:t xml:space="preserve">Arbeidsmiljøloven § 5-2: Plikt til å melde alvorlige ulykker til Arbeidstilsynet</w:t>
      </w:r>
    </w:p>
    <w:p>
      <w:pPr>
        <w:pStyle w:val="ListParagraph"/>
        <w:numPr>
          <w:ilvl w:val="0"/>
          <w:numId w:val="2"/>
        </w:numPr>
        <w:spacing w:after="40"/>
      </w:pPr>
      <w:r>
        <w:rPr>
          <w:b w:val="false"/>
          <w:bCs w:val="false"/>
          <w:i w:val="false"/>
          <w:iCs w:val="false"/>
          <w:sz w:val="20"/>
          <w:szCs w:val="20"/>
        </w:rPr>
        <w:t xml:space="preserve">Arbeidsmiljøloven § 6-3: Verneombudets rett og plikt til å stanse farlig arbeid</w:t>
      </w:r>
    </w:p>
    <w:p>
      <w:pPr>
        <w:pStyle w:val="ListParagraph"/>
        <w:numPr>
          <w:ilvl w:val="0"/>
          <w:numId w:val="2"/>
        </w:numPr>
        <w:spacing w:after="40"/>
      </w:pPr>
      <w:r>
        <w:rPr>
          <w:b w:val="false"/>
          <w:bCs w:val="false"/>
          <w:i w:val="false"/>
          <w:iCs w:val="false"/>
          <w:sz w:val="20"/>
          <w:szCs w:val="20"/>
        </w:rPr>
        <w:t xml:space="preserve">Forskrift om utførelse av arbeid § 3-8: Tiltak ved arbeid med kjemikalier</w:t>
      </w:r>
    </w:p>
    <w:p>
      <w:pPr>
        <w:pStyle w:val="ListParagraph"/>
        <w:numPr>
          <w:ilvl w:val="0"/>
          <w:numId w:val="2"/>
        </w:numPr>
        <w:spacing w:after="40"/>
      </w:pPr>
      <w:r>
        <w:rPr>
          <w:b w:val="false"/>
          <w:bCs w:val="false"/>
          <w:i w:val="false"/>
          <w:iCs w:val="false"/>
          <w:sz w:val="20"/>
          <w:szCs w:val="20"/>
        </w:rPr>
        <w:t xml:space="preserve">Forskrift om organisering, ledelse og medvirkning, kap. 15: Personlig verneutstyr</w:t>
      </w:r>
    </w:p>
    <w:p>
      <w:pPr>
        <w:pStyle w:val="ListParagraph"/>
        <w:numPr>
          <w:ilvl w:val="0"/>
          <w:numId w:val="2"/>
        </w:numPr>
        <w:spacing w:after="40"/>
      </w:pPr>
      <w:r>
        <w:rPr>
          <w:b w:val="false"/>
          <w:bCs w:val="false"/>
          <w:i w:val="false"/>
          <w:iCs w:val="false"/>
          <w:sz w:val="20"/>
          <w:szCs w:val="20"/>
        </w:rPr>
        <w:t xml:space="preserve">Maskinforskriften vedlegg 1 pkt. 1.5.13: Krav til støvoppsamling på maskiner</w:t>
      </w:r>
    </w:p>
    <w:p>
      <w:pPr>
        <w:pStyle w:val="ListParagraph"/>
        <w:numPr>
          <w:ilvl w:val="0"/>
          <w:numId w:val="2"/>
        </w:numPr>
        <w:spacing w:after="40"/>
      </w:pPr>
      <w:r>
        <w:rPr>
          <w:b w:val="false"/>
          <w:bCs w:val="false"/>
          <w:i w:val="false"/>
          <w:iCs w:val="false"/>
          <w:sz w:val="20"/>
          <w:szCs w:val="20"/>
        </w:rPr>
        <w:t xml:space="preserve">Kulturminneloven: Bygget er fredet – alle inngrep krever tillatelse/dispensasjon</w:t>
      </w:r>
    </w:p>
    <w:p>
      <w:pPr>
        <w:pStyle w:val="Heading1"/>
      </w:pPr>
      <w:r>
        <w:rPr>
          <w:b/>
          <w:bCs/>
          <w:i w:val="false"/>
          <w:iCs w:val="false"/>
          <w:sz w:val="28"/>
          <w:szCs w:val="28"/>
        </w:rPr>
        <w:t xml:space="preserve">2. Prosjektbeskrivelse</w:t>
      </w:r>
    </w:p>
    <w:p>
      <w:pPr>
        <w:spacing w:after="100"/>
      </w:pPr>
      <w:r>
        <w:rPr>
          <w:b w:val="false"/>
          <w:bCs w:val="false"/>
          <w:i w:val="false"/>
          <w:iCs w:val="false"/>
          <w:sz w:val="20"/>
          <w:szCs w:val="20"/>
        </w:rPr>
        <w:t xml:space="preserve">Prosjektet gjelder rehabilitering av fasade sør på Bygg 160, Vannfronten, Notodden. Blokkene B og E er fredet etter kulturminneloven, mens Bygg H (trappetårn øst) ikke er fredet og Blokk J (1953) ligger i § 19-området. </w:t>
      </w:r>
      <w:r>
        <w:rPr>
          <w:b/>
          <w:bCs/>
          <w:i w:val="false"/>
          <w:iCs w:val="false"/>
          <w:sz w:val="20"/>
          <w:szCs w:val="20"/>
        </w:rPr>
        <w:t xml:space="preserve">Opsjonsavsnittene for Bygg H (O-2) og Blokk J (O-3) gjelder kun dersom den aktuelle opsjonen utløses.</w:t>
      </w:r>
      <w:r>
        <w:rPr>
          <w:b w:val="false"/>
          <w:bCs w:val="false"/>
          <w:i w:val="false"/>
          <w:iCs w:val="false"/>
          <w:sz w:val="20"/>
          <w:szCs w:val="20"/>
        </w:rPr>
        <w:t xml:space="preserve"> Tiltak fremgår av tegningene A40-101 Fasade Sør (hele sørfasaden inkl. Blokk J) og vindusskjema A62-001.</w:t>
      </w:r>
    </w:p>
    <w:p>
      <w:pPr>
        <w:spacing w:after="100"/>
      </w:pPr>
      <w:r>
        <w:rPr>
          <w:b/>
          <w:bCs/>
          <w:i w:val="false"/>
          <w:iCs w:val="false"/>
          <w:sz w:val="20"/>
          <w:szCs w:val="20"/>
        </w:rPr>
        <w:t xml:space="preserve">Hoveddel — Blokk B og E (fredet, NS 8406, DK1):</w:t>
      </w:r>
    </w:p>
    <w:p>
      <w:pPr>
        <w:pStyle w:val="ListParagraph"/>
        <w:numPr>
          <w:ilvl w:val="0"/>
          <w:numId w:val="2"/>
        </w:numPr>
        <w:spacing w:after="40"/>
      </w:pPr>
      <w:r>
        <w:rPr>
          <w:b w:val="false"/>
          <w:bCs w:val="false"/>
          <w:i w:val="false"/>
          <w:iCs w:val="false"/>
          <w:sz w:val="20"/>
          <w:szCs w:val="20"/>
        </w:rPr>
        <w:t xml:space="preserve">Forenklet betongrehabilitering: pigging av ca. 200 liter (~200 skadesteder), armeringsrensing og reparasjonsmørtel</w:t>
      </w:r>
    </w:p>
    <w:p>
      <w:pPr>
        <w:pStyle w:val="ListParagraph"/>
        <w:numPr>
          <w:ilvl w:val="0"/>
          <w:numId w:val="2"/>
        </w:numPr>
        <w:spacing w:after="40"/>
      </w:pPr>
      <w:r>
        <w:rPr>
          <w:b w:val="false"/>
          <w:bCs w:val="false"/>
          <w:i w:val="false"/>
          <w:iCs w:val="false"/>
          <w:sz w:val="20"/>
          <w:szCs w:val="20"/>
        </w:rPr>
        <w:t xml:space="preserve">Fjerning av dører (S1, S6) og rister (S2, S3, S7) i B-blokka – åpninger støpes igjen med bordforskaling</w:t>
      </w:r>
    </w:p>
    <w:p>
      <w:pPr>
        <w:pStyle w:val="ListParagraph"/>
        <w:numPr>
          <w:ilvl w:val="0"/>
          <w:numId w:val="2"/>
        </w:numPr>
        <w:spacing w:after="40"/>
      </w:pPr>
      <w:r>
        <w:rPr>
          <w:b w:val="false"/>
          <w:bCs w:val="false"/>
          <w:i w:val="false"/>
          <w:iCs w:val="false"/>
          <w:sz w:val="20"/>
          <w:szCs w:val="20"/>
        </w:rPr>
        <w:t xml:space="preserve">Rustbehandling og maling av metallvinduer på B-blokka</w:t>
      </w:r>
    </w:p>
    <w:p>
      <w:pPr>
        <w:pStyle w:val="ListParagraph"/>
        <w:numPr>
          <w:ilvl w:val="0"/>
          <w:numId w:val="2"/>
        </w:numPr>
        <w:spacing w:after="40"/>
      </w:pPr>
      <w:r>
        <w:rPr>
          <w:b w:val="false"/>
          <w:bCs w:val="false"/>
          <w:i w:val="false"/>
          <w:iCs w:val="false"/>
          <w:sz w:val="20"/>
          <w:szCs w:val="20"/>
        </w:rPr>
        <w:t xml:space="preserve">Tilbakeføring av vinduer i øverste og nederste rekke på B-blokka (S5, S7)</w:t>
      </w:r>
    </w:p>
    <w:p>
      <w:pPr>
        <w:pStyle w:val="ListParagraph"/>
        <w:numPr>
          <w:ilvl w:val="0"/>
          <w:numId w:val="2"/>
        </w:numPr>
        <w:spacing w:after="40"/>
      </w:pPr>
      <w:r>
        <w:rPr>
          <w:b w:val="false"/>
          <w:bCs w:val="false"/>
          <w:i w:val="false"/>
          <w:iCs w:val="false"/>
          <w:sz w:val="20"/>
          <w:szCs w:val="20"/>
        </w:rPr>
        <w:t xml:space="preserve">Grunnpuss, sluttpuss med stenkapparat og Keim Granital maling (blå/hvit)</w:t>
      </w:r>
    </w:p>
    <w:p>
      <w:pPr>
        <w:spacing w:after="100"/>
      </w:pPr>
      <w:r>
        <w:rPr>
          <w:b/>
          <w:bCs/>
          <w:i w:val="false"/>
          <w:iCs w:val="false"/>
          <w:sz w:val="20"/>
          <w:szCs w:val="20"/>
        </w:rPr>
        <w:t xml:space="preserve">Opsjon Bygg H — trappetårn øst (O-2, ikke fredet, NS 8406, DK1):</w:t>
      </w:r>
    </w:p>
    <w:p>
      <w:pPr>
        <w:pStyle w:val="ListParagraph"/>
        <w:numPr>
          <w:ilvl w:val="0"/>
          <w:numId w:val="2"/>
        </w:numPr>
        <w:spacing w:after="40"/>
      </w:pPr>
      <w:r>
        <w:rPr>
          <w:b w:val="false"/>
          <w:bCs w:val="false"/>
          <w:i w:val="false"/>
          <w:iCs w:val="false"/>
          <w:sz w:val="20"/>
          <w:szCs w:val="20"/>
        </w:rPr>
        <w:t xml:space="preserve">Lokal pussreparasjon (~86 liter / 86 skadesteder) med Weber REP 25</w:t>
      </w:r>
    </w:p>
    <w:p>
      <w:pPr>
        <w:pStyle w:val="ListParagraph"/>
        <w:numPr>
          <w:ilvl w:val="0"/>
          <w:numId w:val="2"/>
        </w:numPr>
        <w:spacing w:after="40"/>
      </w:pPr>
      <w:r>
        <w:rPr>
          <w:b w:val="false"/>
          <w:bCs w:val="false"/>
          <w:i w:val="false"/>
          <w:iCs w:val="false"/>
          <w:sz w:val="20"/>
          <w:szCs w:val="20"/>
        </w:rPr>
        <w:t xml:space="preserve">Malingsfjerning med KEIM Dispersion-Remover (80,6 m²) — samme regime som B/E</w:t>
      </w:r>
    </w:p>
    <w:p>
      <w:pPr>
        <w:pStyle w:val="ListParagraph"/>
        <w:numPr>
          <w:ilvl w:val="0"/>
          <w:numId w:val="2"/>
        </w:numPr>
        <w:spacing w:after="40"/>
      </w:pPr>
      <w:r>
        <w:rPr>
          <w:b w:val="false"/>
          <w:bCs w:val="false"/>
          <w:i w:val="false"/>
          <w:iCs w:val="false"/>
          <w:sz w:val="20"/>
          <w:szCs w:val="20"/>
        </w:rPr>
        <w:t xml:space="preserve">Ny puss/maling iht. hovedregimet; 80,6 m² fasade</w:t>
      </w:r>
    </w:p>
    <w:p>
      <w:pPr>
        <w:pStyle w:val="ListParagraph"/>
        <w:numPr>
          <w:ilvl w:val="0"/>
          <w:numId w:val="2"/>
        </w:numPr>
        <w:spacing w:after="40"/>
      </w:pPr>
      <w:r>
        <w:rPr>
          <w:b w:val="false"/>
          <w:bCs w:val="false"/>
          <w:i w:val="false"/>
          <w:iCs w:val="false"/>
          <w:sz w:val="20"/>
          <w:szCs w:val="20"/>
        </w:rPr>
        <w:t xml:space="preserve">Stillas integrert med hovedstillas (ca. 85 m² ekstra)</w:t>
      </w:r>
    </w:p>
    <w:p>
      <w:pPr>
        <w:pStyle w:val="ListParagraph"/>
        <w:numPr>
          <w:ilvl w:val="0"/>
          <w:numId w:val="2"/>
        </w:numPr>
        <w:spacing w:after="40"/>
      </w:pPr>
      <w:r>
        <w:rPr>
          <w:b w:val="false"/>
          <w:bCs w:val="false"/>
          <w:i w:val="false"/>
          <w:iCs w:val="false"/>
          <w:sz w:val="20"/>
          <w:szCs w:val="20"/>
        </w:rPr>
        <w:t xml:space="preserve">Bevegelsesfuge H/J (inngår i opsjon O-2): 12 lm</w:t>
      </w:r>
    </w:p>
    <w:p>
      <w:pPr>
        <w:spacing w:after="100"/>
      </w:pPr>
      <w:r>
        <w:rPr>
          <w:b/>
          <w:bCs/>
          <w:i w:val="false"/>
          <w:iCs w:val="false"/>
          <w:sz w:val="20"/>
          <w:szCs w:val="20"/>
        </w:rPr>
        <w:t xml:space="preserve">Opsjon Blokk J — fasade sør (O-3, § 19-området, NS 8406, DK1):</w:t>
      </w:r>
    </w:p>
    <w:p>
      <w:pPr>
        <w:pStyle w:val="ListParagraph"/>
        <w:numPr>
          <w:ilvl w:val="0"/>
          <w:numId w:val="2"/>
        </w:numPr>
        <w:spacing w:after="40"/>
      </w:pPr>
      <w:r>
        <w:rPr>
          <w:b w:val="false"/>
          <w:bCs w:val="false"/>
          <w:i w:val="false"/>
          <w:iCs w:val="false"/>
          <w:sz w:val="20"/>
          <w:szCs w:val="20"/>
        </w:rPr>
        <w:t xml:space="preserve">Full mekanisk pigging av 242,9 m² puss til Ytong-underlag (all puss er bom)</w:t>
      </w:r>
    </w:p>
    <w:p>
      <w:pPr>
        <w:pStyle w:val="ListParagraph"/>
        <w:numPr>
          <w:ilvl w:val="0"/>
          <w:numId w:val="2"/>
        </w:numPr>
        <w:spacing w:after="40"/>
      </w:pPr>
      <w:r>
        <w:rPr>
          <w:b w:val="false"/>
          <w:bCs w:val="false"/>
          <w:i w:val="false"/>
          <w:iCs w:val="false"/>
          <w:sz w:val="20"/>
          <w:szCs w:val="20"/>
        </w:rPr>
        <w:t xml:space="preserve">Gjenmuring i Ytong: 7 ventilasjonsspalter (SP), åpninger S6 (3,26 m²) og S7 (4,40 m²)</w:t>
      </w:r>
    </w:p>
    <w:p>
      <w:pPr>
        <w:pStyle w:val="ListParagraph"/>
        <w:numPr>
          <w:ilvl w:val="0"/>
          <w:numId w:val="2"/>
        </w:numPr>
        <w:spacing w:after="40"/>
      </w:pPr>
      <w:r>
        <w:rPr>
          <w:b w:val="false"/>
          <w:bCs w:val="false"/>
          <w:i w:val="false"/>
          <w:iCs w:val="false"/>
          <w:sz w:val="20"/>
          <w:szCs w:val="20"/>
        </w:rPr>
        <w:t xml:space="preserve">Ny puss med Weber 261 Fiberpuss + Webertherm 397 armeringsnett, totalt 256 m²</w:t>
      </w:r>
    </w:p>
    <w:p>
      <w:pPr>
        <w:pStyle w:val="ListParagraph"/>
        <w:numPr>
          <w:ilvl w:val="0"/>
          <w:numId w:val="2"/>
        </w:numPr>
        <w:spacing w:after="40"/>
      </w:pPr>
      <w:r>
        <w:rPr>
          <w:b w:val="false"/>
          <w:bCs w:val="false"/>
          <w:i w:val="false"/>
          <w:iCs w:val="false"/>
          <w:sz w:val="20"/>
          <w:szCs w:val="20"/>
        </w:rPr>
        <w:t xml:space="preserve">Nye vinduer/dør iht. A62-001 (V1, V6, V7) og E30 brannglass (S5), fabrikklakkert</w:t>
      </w:r>
    </w:p>
    <w:p>
      <w:pPr>
        <w:pStyle w:val="ListParagraph"/>
        <w:numPr>
          <w:ilvl w:val="0"/>
          <w:numId w:val="2"/>
        </w:numPr>
        <w:spacing w:after="40"/>
      </w:pPr>
      <w:r>
        <w:rPr>
          <w:b w:val="false"/>
          <w:bCs w:val="false"/>
          <w:i w:val="false"/>
          <w:iCs w:val="false"/>
          <w:sz w:val="20"/>
          <w:szCs w:val="20"/>
        </w:rPr>
        <w:t xml:space="preserve">Sålebenkbeslag på 20 vinduer (35,3 lm) og sokkelbeslag (30 lm), 0,7 mm lakkert stål</w:t>
      </w:r>
    </w:p>
    <w:p>
      <w:pPr>
        <w:pStyle w:val="ListParagraph"/>
        <w:numPr>
          <w:ilvl w:val="0"/>
          <w:numId w:val="2"/>
        </w:numPr>
        <w:spacing w:after="40"/>
      </w:pPr>
      <w:r>
        <w:rPr>
          <w:b w:val="false"/>
          <w:bCs w:val="false"/>
          <w:i w:val="false"/>
          <w:iCs w:val="false"/>
          <w:sz w:val="20"/>
          <w:szCs w:val="20"/>
        </w:rPr>
        <w:t xml:space="preserve">Maling: Weberton 303 Silikatmaling NCS S4040-Y60R</w:t>
      </w:r>
    </w:p>
    <w:p>
      <w:pPr>
        <w:pStyle w:val="ListParagraph"/>
        <w:numPr>
          <w:ilvl w:val="0"/>
          <w:numId w:val="2"/>
        </w:numPr>
        <w:spacing w:after="40"/>
      </w:pPr>
      <w:r>
        <w:rPr>
          <w:b w:val="false"/>
          <w:bCs w:val="false"/>
          <w:i w:val="false"/>
          <w:iCs w:val="false"/>
          <w:sz w:val="20"/>
          <w:szCs w:val="20"/>
        </w:rPr>
        <w:t xml:space="preserve">Eget stillas: fasade ca. 30 m × 10,5 m</w:t>
      </w:r>
    </w:p>
    <w:p>
      <w:pPr>
        <w:spacing w:after="100"/>
      </w:pPr>
      <w:r>
        <w:rPr>
          <w:b/>
          <w:bCs/>
          <w:i w:val="false"/>
          <w:iCs w:val="false"/>
          <w:sz w:val="20"/>
          <w:szCs w:val="20"/>
        </w:rPr>
        <w:t xml:space="preserve">Parallell delkontrakt DK2 — Innvendige arbeider Blokk J (NS 8407 totalentreprise):</w:t>
      </w:r>
    </w:p>
    <w:p>
      <w:pPr>
        <w:pStyle w:val="ListParagraph"/>
        <w:numPr>
          <w:ilvl w:val="0"/>
          <w:numId w:val="2"/>
        </w:numPr>
        <w:spacing w:after="40"/>
      </w:pPr>
      <w:r>
        <w:rPr>
          <w:b w:val="false"/>
          <w:bCs w:val="false"/>
          <w:i w:val="false"/>
          <w:iCs w:val="false"/>
          <w:sz w:val="20"/>
          <w:szCs w:val="20"/>
        </w:rPr>
        <w:t xml:space="preserve">Ombygging innvendig per egen beskrivelse fra Sør Arkitekter (elektro, VVS og øvrig teknisk prosjektering hos totalentreprenør)</w:t>
      </w:r>
    </w:p>
    <w:p>
      <w:pPr>
        <w:pStyle w:val="ListParagraph"/>
        <w:numPr>
          <w:ilvl w:val="0"/>
          <w:numId w:val="2"/>
        </w:numPr>
        <w:spacing w:after="40"/>
      </w:pPr>
      <w:r>
        <w:rPr>
          <w:b w:val="false"/>
          <w:bCs w:val="false"/>
          <w:i w:val="false"/>
          <w:iCs w:val="false"/>
          <w:sz w:val="20"/>
          <w:szCs w:val="20"/>
        </w:rPr>
        <w:t xml:space="preserve">Egen delkontrakt med eget konkurransegrunnlag og prisskjema</w:t>
      </w:r>
    </w:p>
    <w:p>
      <w:pPr>
        <w:pStyle w:val="ListParagraph"/>
        <w:numPr>
          <w:ilvl w:val="0"/>
          <w:numId w:val="2"/>
        </w:numPr>
        <w:spacing w:after="40"/>
      </w:pPr>
      <w:r>
        <w:rPr>
          <w:b w:val="false"/>
          <w:bCs w:val="false"/>
          <w:i w:val="false"/>
          <w:iCs w:val="false"/>
          <w:sz w:val="20"/>
          <w:szCs w:val="20"/>
        </w:rPr>
        <w:t xml:space="preserve">Grensesnitt til DK1: vindus-/dørmontasje, gjenmuringer og tekniske gjennomføringer på Blokk J</w:t>
      </w:r>
    </w:p>
    <w:p>
      <w:pPr>
        <w:pStyle w:val="ListParagraph"/>
        <w:numPr>
          <w:ilvl w:val="0"/>
          <w:numId w:val="2"/>
        </w:numPr>
        <w:spacing w:after="40"/>
      </w:pPr>
      <w:r>
        <w:rPr>
          <w:b w:val="false"/>
          <w:bCs w:val="false"/>
          <w:i w:val="false"/>
          <w:iCs w:val="false"/>
          <w:sz w:val="20"/>
          <w:szCs w:val="20"/>
        </w:rPr>
        <w:t xml:space="preserve">Kan utføres parallelt med DK1 (Blokk J fasade) — krever koordinering, jf. pkt. 3</w:t>
      </w:r>
    </w:p>
    <w:p>
      <w:pPr>
        <w:spacing w:after="100"/>
      </w:pPr>
      <w:r>
        <w:rPr>
          <w:b w:val="false"/>
          <w:bCs w:val="false"/>
          <w:i w:val="false"/>
          <w:iCs w:val="false"/>
          <w:sz w:val="20"/>
          <w:szCs w:val="20"/>
        </w:rPr>
        <w:t xml:space="preserve">Murstillas med brannsikker inndekking på hele sørfasaden – byggeplassen holdes tilnærmet tørr.</w:t>
      </w:r>
    </w:p>
    <w:p>
      <w:pPr>
        <w:pStyle w:val="Heading1"/>
      </w:pPr>
      <w:r>
        <w:rPr>
          <w:b/>
          <w:bCs/>
          <w:i w:val="false"/>
          <w:iCs w:val="false"/>
          <w:sz w:val="28"/>
          <w:szCs w:val="28"/>
        </w:rPr>
        <w:t xml:space="preserve">3. Organisasjonskart (§ 8 a)</w:t>
      </w:r>
    </w:p>
    <w:p>
      <w:pPr>
        <w:spacing w:after="100"/>
      </w:pPr>
      <w:r>
        <w:rPr>
          <w:b w:val="false"/>
          <w:bCs w:val="false"/>
          <w:i w:val="false"/>
          <w:iCs w:val="false"/>
          <w:sz w:val="20"/>
          <w:szCs w:val="20"/>
        </w:rPr>
        <w:t xml:space="preserve">Iht. Byggherreforskriften § 8 a) skal SHA-planen inneholde et organisasjonskart.</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600"/>
        <w:gridCol w:w="3626"/>
        <w:gridCol w:w="1400"/>
        <w:gridCol w:w="1400"/>
      </w:tblGrid>
      <w:tr>
        <w:trPr>
          <w:tblHeader/>
        </w:trPr>
        <w:tc>
          <w:tcPr>
            <w:tcW w:type="dxa" w:w="26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Rolle</w:t>
            </w:r>
          </w:p>
        </w:tc>
        <w:tc>
          <w:tcPr>
            <w:tcW w:type="dxa" w:w="362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Navn / firma</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Telefon</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E-post</w:t>
            </w:r>
          </w:p>
        </w:tc>
      </w:tr>
      <w:tr>
        <w:trPr>
          <w:tblHeader w:val="false"/>
        </w:trPr>
        <w:tc>
          <w:tcPr>
            <w:tcW w:type="dxa" w:w="26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Byggherre / prosjekteier</w:t>
            </w:r>
          </w:p>
        </w:tc>
        <w:tc>
          <w:tcPr>
            <w:tcW w:type="dxa" w:w="36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Vannfronten Eiendom AS v/ John Terje Veseth</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[Tlf]</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[E-post]</w:t>
            </w:r>
          </w:p>
        </w:tc>
      </w:tr>
      <w:tr>
        <w:trPr>
          <w:tblHeader w:val="false"/>
        </w:trPr>
        <w:tc>
          <w:tcPr>
            <w:tcW w:type="dxa" w:w="26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Byggherrens representant / PL</w:t>
            </w:r>
          </w:p>
        </w:tc>
        <w:tc>
          <w:tcPr>
            <w:tcW w:type="dxa" w:w="36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[Utpekes av byggherre]</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r>
      <w:tr>
        <w:trPr>
          <w:tblHeader w:val="false"/>
        </w:trPr>
        <w:tc>
          <w:tcPr>
            <w:tcW w:type="dxa" w:w="26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SHA-koordinator prosjektering (KP)</w:t>
            </w:r>
          </w:p>
        </w:tc>
        <w:tc>
          <w:tcPr>
            <w:tcW w:type="dxa" w:w="36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[Utpekes av byggherre]</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r>
      <w:tr>
        <w:trPr>
          <w:tblHeader w:val="false"/>
        </w:trPr>
        <w:tc>
          <w:tcPr>
            <w:tcW w:type="dxa" w:w="26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SHA-koordinator utførelse (KU)</w:t>
            </w:r>
          </w:p>
        </w:tc>
        <w:tc>
          <w:tcPr>
            <w:tcW w:type="dxa" w:w="36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[Utpekes av byggherre]</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[Tlf]</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[E-post]</w:t>
            </w:r>
          </w:p>
        </w:tc>
      </w:tr>
      <w:tr>
        <w:trPr>
          <w:tblHeader w:val="false"/>
        </w:trPr>
        <w:tc>
          <w:tcPr>
            <w:tcW w:type="dxa" w:w="26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Antikvarisk myndighet</w:t>
            </w:r>
          </w:p>
        </w:tc>
        <w:tc>
          <w:tcPr>
            <w:tcW w:type="dxa" w:w="36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Telemark fylkeskommune (TFK)</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[Tlf]</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[E-post]</w:t>
            </w:r>
          </w:p>
        </w:tc>
      </w:tr>
      <w:tr>
        <w:trPr>
          <w:tblHeader w:val="false"/>
        </w:trPr>
        <w:tc>
          <w:tcPr>
            <w:tcW w:type="dxa" w:w="26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Hovedbedrift / murermester</w:t>
            </w:r>
          </w:p>
        </w:tc>
        <w:tc>
          <w:tcPr>
            <w:tcW w:type="dxa" w:w="36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[Firma]</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[Tlf]</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[E-post]</w:t>
            </w:r>
          </w:p>
        </w:tc>
      </w:tr>
      <w:tr>
        <w:trPr>
          <w:tblHeader w:val="false"/>
        </w:trPr>
        <w:tc>
          <w:tcPr>
            <w:tcW w:type="dxa" w:w="26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Verneombud (utpekes av ent.)</w:t>
            </w:r>
          </w:p>
        </w:tc>
        <w:tc>
          <w:tcPr>
            <w:tcW w:type="dxa" w:w="36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[Navn]</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[Tlf]</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[E-post]</w:t>
            </w:r>
          </w:p>
        </w:tc>
      </w:tr>
      <w:tr>
        <w:trPr>
          <w:tblHeader w:val="false"/>
        </w:trPr>
        <w:tc>
          <w:tcPr>
            <w:tcW w:type="dxa" w:w="26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[Underentreprenør]</w:t>
            </w:r>
          </w:p>
        </w:tc>
        <w:tc>
          <w:tcPr>
            <w:tcW w:type="dxa" w:w="36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[Firma]</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[Tlf]</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[E-post]</w:t>
            </w:r>
          </w:p>
        </w:tc>
      </w:tr>
    </w:tbl>
    <w:p>
      <w:pPr>
        <w:spacing w:after="80"/>
      </w:pPr>
      <w:r>
        <w:rPr>
          <w:sz w:val="8"/>
          <w:szCs w:val="8"/>
        </w:rPr>
        <w:t xml:space="preserve"/>
      </w:r>
    </w:p>
    <w:p>
      <w:pPr>
        <w:spacing w:after="100"/>
      </w:pPr>
      <w:r>
        <w:rPr>
          <w:b w:val="false"/>
          <w:bCs w:val="false"/>
          <w:i/>
          <w:iCs/>
          <w:sz w:val="20"/>
          <w:szCs w:val="20"/>
        </w:rPr>
        <w:t xml:space="preserve">Samordningsansvar: Hovedbedrift (murermester) ivaretar samordningen av HMS på felles arbeidsplass, jf. aml. § 2-2. Samordningsansvaret fritar ikke den enkelte virksomhet fra eget HMS-ansvar.</w:t>
      </w:r>
    </w:p>
    <w:p>
      <w:pPr>
        <w:spacing w:after="100"/>
      </w:pPr>
      <w:r>
        <w:rPr>
          <w:b w:val="false"/>
          <w:bCs w:val="false"/>
          <w:i/>
          <w:iCs/>
          <w:sz w:val="20"/>
          <w:szCs w:val="20"/>
        </w:rPr>
        <w:t xml:space="preserve">Dersom begge opsjoner utløses (Bygg H og Blokk J), er konkurransen delt i to delkontrakter (DK1 utvendige arbeider B+E+H+J, DK2 innvendige arbeider Blokk J), jf. konkurransebeskrivelsen pkt. 4.2.3. Dersom DK1 og DK2 tildeles ulike virksomheter, utpeker byggherre én hovedbedrift som ivaretar samordningen etter aml. § 2-2. Tiltransporteres DK2 til DK1-entreprenøren, blir denne hovedbedrift og hovedentreprenør med koordinerings- og fremdriftsansvar, jf. NS 8406 § 16. KU samordner HMS mellom virksomhetene uavhengig av entreprisemodell, jf. § 14. Særlig grensesnitt: felles fasadestillas og samtidig innvendig arbeid i Blokk J (DK2) krever koordinert sikring mot nedfall og avklart adkomst. Pigging av Blokk J (nikkelholdig støv) krever koordinering med DK2 slik at innvendig arbeid ikke pågår samtidig i berørt sone.</w:t>
      </w:r>
    </w:p>
    <w:p>
      <w:pPr>
        <w:pStyle w:val="Heading1"/>
      </w:pPr>
      <w:r>
        <w:rPr>
          <w:b/>
          <w:bCs/>
          <w:i w:val="false"/>
          <w:iCs w:val="false"/>
          <w:sz w:val="28"/>
          <w:szCs w:val="28"/>
        </w:rPr>
        <w:t xml:space="preserve">4. Fremdriftsplan (§ 8 b)</w:t>
      </w:r>
    </w:p>
    <w:p>
      <w:pPr>
        <w:spacing w:after="100"/>
      </w:pPr>
      <w:r>
        <w:rPr>
          <w:b w:val="false"/>
          <w:bCs w:val="false"/>
          <w:i w:val="false"/>
          <w:iCs w:val="false"/>
          <w:sz w:val="20"/>
          <w:szCs w:val="20"/>
        </w:rPr>
        <w:t xml:space="preserve">Iht. Byggherreforskriften § 8 b) skal SHA-planen inneholde en fremdriftsplan for de ulike arbeidsoperasjonene. Planen viser planlagt rekkefølge slik at risiko ved samtidig utførelse kan vurderes.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650"/>
        <w:gridCol w:w="3976"/>
        <w:gridCol w:w="1500"/>
        <w:gridCol w:w="1500"/>
        <w:gridCol w:w="1400"/>
      </w:tblGrid>
      <w:tr>
        <w:trPr>
          <w:tblHeader/>
        </w:trPr>
        <w:tc>
          <w:tcPr>
            <w:tcW w:type="dxa" w:w="6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397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Arbeidsoperasjon</w:t>
            </w:r>
          </w:p>
        </w:tc>
        <w:tc>
          <w:tcPr>
            <w:tcW w:type="dxa" w:w="15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Planlagt start</w:t>
            </w:r>
          </w:p>
        </w:tc>
        <w:tc>
          <w:tcPr>
            <w:tcW w:type="dxa" w:w="15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Planlagt slutt</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F-01</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Etablering av rigg, brakke og sanitæranlegg</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F-02</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Montering Haki murstillas m/utvendig trapp + brannsikker inndekking</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F-04</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Kartlegging og merking av betongskader (m/PL)</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 + PL</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F-05</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Pigging av betongskader – armeringsrensing og heftbro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F-06</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Støping og muring – åpninger etter dører og rister (S1–S3, S6–S7)</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F-07</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Reparasjonsmørtel betong (Weber REP 25 el. tilsv.)</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F-08</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Grunnpuss og gjenskapelse av bordforskalislinjer</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F-09</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Sluttpuss med stenkapparat</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F-10</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Rustbehandling og maling metallvinduer B-blokka – NCS 7020-G30Y</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Ent./UE</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F-11</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Tilbakeføring av vinduer øverste og nederste rekke B-blokka</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Ent./UE</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F-12</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Maling fasade – Keim Granital: blå (NCS S 6020-B) og hvit (NCS S 1005-Y20R)</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F-13</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Demontering stillas og rydding av rigg</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F-14</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Sluttbefaring og overlevering</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PL + Ent.</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F-15</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Bygg H</w:t>
            </w:r>
            <w:r>
              <w:rPr>
                <w:b w:val="false"/>
                <w:bCs w:val="false"/>
                <w:i w:val="false"/>
                <w:iCs w:val="false"/>
                <w:sz w:val="17"/>
                <w:szCs w:val="17"/>
              </w:rPr>
              <w:t xml:space="preserve"> — stillasutvidelse fra hovedstillas (~85 m² ekstra)</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F-16</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Bygg H</w:t>
            </w:r>
            <w:r>
              <w:rPr>
                <w:b w:val="false"/>
                <w:bCs w:val="false"/>
                <w:i w:val="false"/>
                <w:iCs w:val="false"/>
                <w:sz w:val="17"/>
                <w:szCs w:val="17"/>
              </w:rPr>
              <w:t xml:space="preserve"> — malingsfjerning m/ KEIM Dispersion-Remover (T-16), oppsamling av vaskevann</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F-17</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Bygg H</w:t>
            </w:r>
            <w:r>
              <w:rPr>
                <w:b w:val="false"/>
                <w:bCs w:val="false"/>
                <w:i w:val="false"/>
                <w:iCs w:val="false"/>
                <w:sz w:val="17"/>
                <w:szCs w:val="17"/>
              </w:rPr>
              <w:t xml:space="preserve"> — pussreparasjon (Weber REP 25), 86 liter / 86 skadesteder</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F-18</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Bygg H</w:t>
            </w:r>
            <w:r>
              <w:rPr>
                <w:b w:val="false"/>
                <w:bCs w:val="false"/>
                <w:i w:val="false"/>
                <w:iCs w:val="false"/>
                <w:sz w:val="17"/>
                <w:szCs w:val="17"/>
              </w:rPr>
              <w:t xml:space="preserve"> — ny puss og maling iht. hovedregime</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F-19</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Bevegelsesfuge H/J (inngår i O-2)</w:t>
            </w:r>
            <w:r>
              <w:rPr>
                <w:b w:val="false"/>
                <w:bCs w:val="false"/>
                <w:i w:val="false"/>
                <w:iCs w:val="false"/>
                <w:sz w:val="17"/>
                <w:szCs w:val="17"/>
              </w:rPr>
              <w:t xml:space="preserve"> — 12 lm, ved overgang H/J</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F-20</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Blokk J</w:t>
            </w:r>
            <w:r>
              <w:rPr>
                <w:b w:val="false"/>
                <w:bCs w:val="false"/>
                <w:i w:val="false"/>
                <w:iCs w:val="false"/>
                <w:sz w:val="17"/>
                <w:szCs w:val="17"/>
              </w:rPr>
              <w:t xml:space="preserve"> — etablering av eget stillas, fasade 30 × 10,5 m, brannsikker inndekking</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F-21</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Blokk J</w:t>
            </w:r>
            <w:r>
              <w:rPr>
                <w:b w:val="false"/>
                <w:bCs w:val="false"/>
                <w:i w:val="false"/>
                <w:iCs w:val="false"/>
                <w:sz w:val="17"/>
                <w:szCs w:val="17"/>
              </w:rPr>
              <w:t xml:space="preserve"> — innkapsling/tildekning av arbeidssone (T-19), etablering av punktavsug H-klasse HEPA</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F-22</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Blokk J — PIGGING (HØY risiko, T-18 til T-22)</w:t>
            </w:r>
            <w:r>
              <w:rPr>
                <w:b w:val="false"/>
                <w:bCs w:val="false"/>
                <w:i w:val="false"/>
                <w:iCs w:val="false"/>
                <w:sz w:val="17"/>
                <w:szCs w:val="17"/>
              </w:rPr>
              <w:t xml:space="preserve">: full mekanisk pigging 242,9 m² til Ytong, kontinuerlig avsug, luftforsynt åndedrettsvern. Innvendig arbeid (DK2) IKKE samtidig i berørt sone</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F-23</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Blokk J</w:t>
            </w:r>
            <w:r>
              <w:rPr>
                <w:b w:val="false"/>
                <w:bCs w:val="false"/>
                <w:i w:val="false"/>
                <w:iCs w:val="false"/>
                <w:sz w:val="17"/>
                <w:szCs w:val="17"/>
              </w:rPr>
              <w:t xml:space="preserve"> — oppsamling og levering nikkelholdig avfall (T-23), farlig avfall NS 7051, ca. 5,83 tonn</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F-24</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Blokk J</w:t>
            </w:r>
            <w:r>
              <w:rPr>
                <w:b w:val="false"/>
                <w:bCs w:val="false"/>
                <w:i w:val="false"/>
                <w:iCs w:val="false"/>
                <w:sz w:val="17"/>
                <w:szCs w:val="17"/>
              </w:rPr>
              <w:t xml:space="preserve"> — gjenmuring SP/S6/S7 i Ytong</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F-25</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Blokk J</w:t>
            </w:r>
            <w:r>
              <w:rPr>
                <w:b w:val="false"/>
                <w:bCs w:val="false"/>
                <w:i w:val="false"/>
                <w:iCs w:val="false"/>
                <w:sz w:val="17"/>
                <w:szCs w:val="17"/>
              </w:rPr>
              <w:t xml:space="preserve"> — pussoppbygging Weber 261 Fiberpuss + armeringsnett (256 m²)</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F-26</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Blokk J</w:t>
            </w:r>
            <w:r>
              <w:rPr>
                <w:b w:val="false"/>
                <w:bCs w:val="false"/>
                <w:i w:val="false"/>
                <w:iCs w:val="false"/>
                <w:sz w:val="17"/>
                <w:szCs w:val="17"/>
              </w:rPr>
              <w:t xml:space="preserve"> — vindus-/dørmontasje (V1, V6, V7, E30) iht. A62-001, sålebenkbeslag fall 1:5</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F-27</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Blokk J</w:t>
            </w:r>
            <w:r>
              <w:rPr>
                <w:b w:val="false"/>
                <w:bCs w:val="false"/>
                <w:i w:val="false"/>
                <w:iCs w:val="false"/>
                <w:sz w:val="17"/>
                <w:szCs w:val="17"/>
              </w:rPr>
              <w:t xml:space="preserve"> — sokkelbeslag og fugetetting</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F-28</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Blokk J</w:t>
            </w:r>
            <w:r>
              <w:rPr>
                <w:b w:val="false"/>
                <w:bCs w:val="false"/>
                <w:i w:val="false"/>
                <w:iCs w:val="false"/>
                <w:sz w:val="17"/>
                <w:szCs w:val="17"/>
              </w:rPr>
              <w:t xml:space="preserve"> — maling Weberton 303 Silikatmaling NCS S4040-Y60R (herdetid puss min. 14 døgn før maling)</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Murermester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F-29</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DK2 — Innvendige arbeider Blokk J</w:t>
            </w:r>
            <w:r>
              <w:rPr>
                <w:b w:val="false"/>
                <w:bCs w:val="false"/>
                <w:i w:val="false"/>
                <w:iCs w:val="false"/>
                <w:sz w:val="17"/>
                <w:szCs w:val="17"/>
              </w:rPr>
              <w:t xml:space="preserve">: utføres parallelt med DK1 (J fasade) etter koordinert fremdriftsplan; ikke samtidig i berørt sone under pigging (F-22)</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DK2-entreprenør</w:t>
            </w:r>
          </w:p>
        </w:tc>
      </w:tr>
      <w:tr>
        <w:trPr>
          <w:tblHeader w:val="false"/>
        </w:trPr>
        <w:tc>
          <w:tcPr>
            <w:tcW w:type="dxa" w:w="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F-30</w:t>
            </w:r>
          </w:p>
        </w:tc>
        <w:tc>
          <w:tcPr>
            <w:tcW w:type="dxa" w:w="397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Felles sluttbefaring B+E+H+J (DK1) og DK2</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5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iCs/>
                <w:sz w:val="17"/>
                <w:szCs w:val="17"/>
              </w:rPr>
              <w:t xml:space="preserve">[Dato]</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PL + Ent.</w:t>
            </w:r>
          </w:p>
        </w:tc>
      </w:tr>
    </w:tbl>
    <w:p>
      <w:pPr>
        <w:spacing w:after="80"/>
      </w:pPr>
      <w:r>
        <w:rPr>
          <w:sz w:val="8"/>
          <w:szCs w:val="8"/>
        </w:rPr>
        <w:t xml:space="preserve"/>
      </w:r>
    </w:p>
    <w:p>
      <w:pPr>
        <w:pStyle w:val="Heading1"/>
      </w:pPr>
      <w:r>
        <w:rPr>
          <w:b/>
          <w:bCs/>
          <w:i w:val="false"/>
          <w:iCs w:val="false"/>
          <w:sz w:val="28"/>
          <w:szCs w:val="28"/>
        </w:rPr>
        <w:t xml:space="preserve">5. Risikovurdering (§ 8 c)</w:t>
      </w:r>
    </w:p>
    <w:p>
      <w:pPr>
        <w:spacing w:after="100"/>
      </w:pPr>
      <w:r>
        <w:rPr>
          <w:b w:val="false"/>
          <w:bCs w:val="false"/>
          <w:i w:val="false"/>
          <w:iCs w:val="false"/>
          <w:sz w:val="20"/>
          <w:szCs w:val="20"/>
        </w:rPr>
        <w:t xml:space="preserve">Iht. Byggherreforskriften § 8 c) skal planen inneholde spesifikke tiltak for å redusere fare for liv og helse. Tabellen nedenfor er byggherrens risikovurdering, utarbeidet iht. §§ 5 og 6.</w:t>
      </w:r>
    </w:p>
    <w:p>
      <w:pPr>
        <w:spacing w:after="100"/>
      </w:pPr>
      <w:r>
        <w:rPr>
          <w:b/>
          <w:bCs/>
          <w:i w:val="false"/>
          <w:iCs w:val="false"/>
          <w:sz w:val="20"/>
          <w:szCs w:val="20"/>
        </w:rPr>
        <w:t xml:space="preserve">Risikomatrise – Sannsynlighet (S) × Konsekvens (K), skala 1–3:</w:t>
      </w:r>
    </w:p>
    <w:p>
      <w:pPr>
        <w:pStyle w:val="ListParagraph"/>
        <w:numPr>
          <w:ilvl w:val="0"/>
          <w:numId w:val="2"/>
        </w:numPr>
        <w:spacing w:after="40"/>
      </w:pPr>
      <w:r>
        <w:rPr>
          <w:b w:val="false"/>
          <w:bCs w:val="false"/>
          <w:i w:val="false"/>
          <w:iCs w:val="false"/>
          <w:sz w:val="20"/>
          <w:szCs w:val="20"/>
        </w:rPr>
        <w:t xml:space="preserve">S: 1 = Lite sannsynlig  |  2 = Mulig  |  3 = Sannsynlig</w:t>
      </w:r>
    </w:p>
    <w:p>
      <w:pPr>
        <w:pStyle w:val="ListParagraph"/>
        <w:numPr>
          <w:ilvl w:val="0"/>
          <w:numId w:val="2"/>
        </w:numPr>
        <w:spacing w:after="40"/>
      </w:pPr>
      <w:r>
        <w:rPr>
          <w:b w:val="false"/>
          <w:bCs w:val="false"/>
          <w:i w:val="false"/>
          <w:iCs w:val="false"/>
          <w:sz w:val="20"/>
          <w:szCs w:val="20"/>
        </w:rPr>
        <w:t xml:space="preserve">K: 1 = Liten  |  2 = Moderat  |  3 = Alvorlig / kritisk</w:t>
      </w:r>
    </w:p>
    <w:p>
      <w:pPr>
        <w:pStyle w:val="ListParagraph"/>
        <w:numPr>
          <w:ilvl w:val="0"/>
          <w:numId w:val="2"/>
        </w:numPr>
        <w:spacing w:after="40"/>
      </w:pPr>
      <w:r>
        <w:rPr>
          <w:b w:val="false"/>
          <w:bCs w:val="false"/>
          <w:i w:val="false"/>
          <w:iCs w:val="false"/>
          <w:sz w:val="20"/>
          <w:szCs w:val="20"/>
        </w:rPr>
        <w:t xml:space="preserve">Risiko: 1–2 = LAV  |  3–4 = MIDDELS  |  6–9 = HØY</w:t>
      </w:r>
    </w:p>
    <w:p>
      <w:pPr>
        <w:pStyle w:val="Heading2"/>
      </w:pPr>
      <w:r>
        <w:rPr>
          <w:b/>
          <w:bCs/>
          <w:i w:val="false"/>
          <w:iCs w:val="false"/>
          <w:sz w:val="24"/>
          <w:szCs w:val="24"/>
        </w:rPr>
        <w:t xml:space="preserve">5.1 Kvartsstøv og helseskadelig støveksponering (§ 8 c nr. 13)</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6"/>
        <w:gridCol w:w="6520"/>
      </w:tblGrid>
      <w:tr>
        <w:trPr>
          <w:tblHeader/>
        </w:trPr>
        <w:tc>
          <w:tcPr>
            <w:tcW w:type="dxa" w:w="25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 8 c nr. 13</w:t>
            </w:r>
          </w:p>
        </w:tc>
        <w:tc>
          <w:tcPr>
            <w:tcW w:type="dxa" w:w="6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Planen skal inneholde tiltak for å redusere fare for helseskadelig eksponering for støv, gass, støy eller vibrasjoner.</w:t>
            </w:r>
          </w:p>
        </w:tc>
      </w:tr>
    </w:tbl>
    <w:p>
      <w:pPr>
        <w:spacing w:after="80"/>
      </w:pPr>
      <w:r>
        <w:rPr>
          <w:sz w:val="8"/>
          <w:szCs w:val="8"/>
        </w:rPr>
        <w:t xml:space="preserve"/>
      </w:r>
    </w:p>
    <w:p>
      <w:pPr>
        <w:spacing w:after="100"/>
      </w:pPr>
      <w:r>
        <w:rPr>
          <w:b w:val="false"/>
          <w:bCs w:val="false"/>
          <w:i/>
          <w:iCs/>
          <w:sz w:val="20"/>
          <w:szCs w:val="20"/>
        </w:rPr>
        <w:t xml:space="preserve">Betong og puss inneholder krystallinske silikater (kvarts). Arbeidstilsynet klassifiserer pigging og sandblåsing som høyrisikooperasjoner. Byggherre har plikt til å innarbeide dette – det kan ikke overlates til entreprenøren alene å risikovurdere, jf. § 6.</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20"/>
        <w:gridCol w:w="1650"/>
        <w:gridCol w:w="2126"/>
        <w:gridCol w:w="360"/>
        <w:gridCol w:w="360"/>
        <w:gridCol w:w="850"/>
        <w:gridCol w:w="1760"/>
        <w:gridCol w:w="1400"/>
      </w:tblGrid>
      <w:tr>
        <w:trPr>
          <w:tblHeader/>
        </w:trPr>
        <w:tc>
          <w:tcPr>
            <w:tcW w:type="dxa" w:w="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16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Arbeidsoperasjon</w:t>
            </w:r>
          </w:p>
        </w:tc>
        <w:tc>
          <w:tcPr>
            <w:tcW w:type="dxa" w:w="212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Fare / eksponering</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S</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K</w:t>
            </w:r>
          </w:p>
        </w:tc>
        <w:tc>
          <w:tcPr>
            <w:tcW w:type="dxa" w:w="8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w:t>
            </w:r>
          </w:p>
        </w:tc>
        <w:tc>
          <w:tcPr>
            <w:tcW w:type="dxa" w:w="17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K-01</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Pigging av betongskader</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Kvartseksponering – respirabelt støv fra betong. Betong inneholder krystallinske silikater</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HØY</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T-01 – T-06</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K-02</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Sandblåsing / mekanisk rensing armering</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Kvartseksponering og metallstøv – høy partikkelkonsentrasjon</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HØY</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T-01 – T-06</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K-03</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Sluttpuss med stenkapparat</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Støveksponering fra tørr mørtelmasse</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T-04, T-05, T-06</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K-04</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Rengjøring av piggede flater</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Støv spres ukontrollert</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T-02, T-03</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bl>
    <w:p>
      <w:pPr>
        <w:spacing w:after="80"/>
      </w:pPr>
      <w:r>
        <w:rPr>
          <w:sz w:val="8"/>
          <w:szCs w:val="8"/>
        </w:rPr>
        <w:t xml:space="preserve"/>
      </w:r>
    </w:p>
    <w:p>
      <w:pPr>
        <w:pStyle w:val="Heading2"/>
      </w:pPr>
      <w:r>
        <w:rPr>
          <w:b/>
          <w:bCs/>
          <w:i w:val="false"/>
          <w:iCs w:val="false"/>
          <w:sz w:val="24"/>
          <w:szCs w:val="24"/>
        </w:rPr>
        <w:t xml:space="preserve">5.2 Fall og arbeid i høyden</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20"/>
        <w:gridCol w:w="1650"/>
        <w:gridCol w:w="2126"/>
        <w:gridCol w:w="360"/>
        <w:gridCol w:w="360"/>
        <w:gridCol w:w="850"/>
        <w:gridCol w:w="1760"/>
        <w:gridCol w:w="1400"/>
      </w:tblGrid>
      <w:tr>
        <w:trPr>
          <w:tblHeader/>
        </w:trPr>
        <w:tc>
          <w:tcPr>
            <w:tcW w:type="dxa" w:w="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16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Arbeidsoperasjon</w:t>
            </w:r>
          </w:p>
        </w:tc>
        <w:tc>
          <w:tcPr>
            <w:tcW w:type="dxa" w:w="212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Fare / eksponering</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S</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K</w:t>
            </w:r>
          </w:p>
        </w:tc>
        <w:tc>
          <w:tcPr>
            <w:tcW w:type="dxa" w:w="8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w:t>
            </w:r>
          </w:p>
        </w:tc>
        <w:tc>
          <w:tcPr>
            <w:tcW w:type="dxa" w:w="17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F-01</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Arbeid på murstillas</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Fall fra stillas – alvorlig personskade</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T-07, T-08</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F-02</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Montering/demontering stillas</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Fall og fallende gjenstander</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T-07, T-08</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F-03</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Pigging ved vindusåpninger</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Fallende materiale mot bakkeplan</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T-08, T-09</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bl>
    <w:p>
      <w:pPr>
        <w:spacing w:after="80"/>
      </w:pPr>
      <w:r>
        <w:rPr>
          <w:sz w:val="8"/>
          <w:szCs w:val="8"/>
        </w:rPr>
        <w:t xml:space="preserve"/>
      </w:r>
    </w:p>
    <w:p>
      <w:pPr>
        <w:pStyle w:val="Heading2"/>
      </w:pPr>
      <w:r>
        <w:rPr>
          <w:b/>
          <w:bCs/>
          <w:i w:val="false"/>
          <w:iCs w:val="false"/>
          <w:sz w:val="24"/>
          <w:szCs w:val="24"/>
        </w:rPr>
        <w:t xml:space="preserve">5.3 Kjemisk eksponering – maling og overflatebehandling</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20"/>
        <w:gridCol w:w="1650"/>
        <w:gridCol w:w="2126"/>
        <w:gridCol w:w="360"/>
        <w:gridCol w:w="360"/>
        <w:gridCol w:w="850"/>
        <w:gridCol w:w="1760"/>
        <w:gridCol w:w="1400"/>
      </w:tblGrid>
      <w:tr>
        <w:trPr>
          <w:tblHeader/>
        </w:trPr>
        <w:tc>
          <w:tcPr>
            <w:tcW w:type="dxa" w:w="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16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Arbeidsoperasjon</w:t>
            </w:r>
          </w:p>
        </w:tc>
        <w:tc>
          <w:tcPr>
            <w:tcW w:type="dxa" w:w="212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Fare / eksponering</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S</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K</w:t>
            </w:r>
          </w:p>
        </w:tc>
        <w:tc>
          <w:tcPr>
            <w:tcW w:type="dxa" w:w="8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w:t>
            </w:r>
          </w:p>
        </w:tc>
        <w:tc>
          <w:tcPr>
            <w:tcW w:type="dxa" w:w="17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M-01</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Rustbehandling metallvinduer</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Kjemisk eksponering – rustmidler/løsemidler</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T-10, T-11</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M-02</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Maling fasade og vinduer</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Hudkontakt og innånding</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1</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LAV</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T-10, T-11</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M-04</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Bruk av KEIM Dispersion-Remover ved rengjøring av metallvinduer</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Vaskevann med malingrester (avfallskode 08 01 11</w:t>
            </w:r>
            <w:r>
              <w:rPr>
                <w:b w:val="false"/>
                <w:bCs w:val="false"/>
                <w:i/>
                <w:iCs/>
                <w:sz w:val="17"/>
                <w:szCs w:val="17"/>
              </w:rPr>
              <w:t xml:space="preserve">) forurenset overvann, sluk, vassdrag eller terreng</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T-16</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bl>
    <w:p>
      <w:pPr>
        <w:spacing w:after="80"/>
      </w:pPr>
      <w:r>
        <w:rPr>
          <w:sz w:val="8"/>
          <w:szCs w:val="8"/>
        </w:rPr>
        <w:t xml:space="preserve"/>
      </w:r>
    </w:p>
    <w:p>
      <w:pPr>
        <w:pStyle w:val="Heading2"/>
      </w:pPr>
      <w:r>
        <w:rPr>
          <w:b/>
          <w:bCs/>
          <w:i w:val="false"/>
          <w:iCs w:val="false"/>
          <w:sz w:val="24"/>
          <w:szCs w:val="24"/>
        </w:rPr>
        <w:t xml:space="preserve">5.4 Antikvariske arbeider – fredet bygg</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20"/>
        <w:gridCol w:w="1650"/>
        <w:gridCol w:w="2126"/>
        <w:gridCol w:w="360"/>
        <w:gridCol w:w="360"/>
        <w:gridCol w:w="850"/>
        <w:gridCol w:w="1760"/>
        <w:gridCol w:w="1400"/>
      </w:tblGrid>
      <w:tr>
        <w:trPr>
          <w:tblHeader/>
        </w:trPr>
        <w:tc>
          <w:tcPr>
            <w:tcW w:type="dxa" w:w="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16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Arbeidsoperasjon</w:t>
            </w:r>
          </w:p>
        </w:tc>
        <w:tc>
          <w:tcPr>
            <w:tcW w:type="dxa" w:w="212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Fare / eksponering</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S</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K</w:t>
            </w:r>
          </w:p>
        </w:tc>
        <w:tc>
          <w:tcPr>
            <w:tcW w:type="dxa" w:w="8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w:t>
            </w:r>
          </w:p>
        </w:tc>
        <w:tc>
          <w:tcPr>
            <w:tcW w:type="dxa" w:w="17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A-01</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Pigging og muring nær vernede detaljer</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Skade på fredet fasade</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T-13</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 + PL</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A-02</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Fjerning av dører, rister og vinduer</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Utilsiktet skade på fredede bygningsdeler</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T-13</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 + PL</w:t>
            </w:r>
          </w:p>
        </w:tc>
      </w:tr>
    </w:tbl>
    <w:p>
      <w:pPr>
        <w:spacing w:after="80"/>
      </w:pPr>
      <w:r>
        <w:rPr>
          <w:sz w:val="8"/>
          <w:szCs w:val="8"/>
        </w:rPr>
        <w:t xml:space="preserve"/>
      </w:r>
    </w:p>
    <w:p>
      <w:pPr>
        <w:pStyle w:val="Heading2"/>
      </w:pPr>
      <w:r>
        <w:rPr>
          <w:b/>
          <w:bCs/>
          <w:i w:val="false"/>
          <w:iCs w:val="false"/>
          <w:sz w:val="24"/>
          <w:szCs w:val="24"/>
        </w:rPr>
        <w:t xml:space="preserve">5.5 Generelle risikoer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20"/>
        <w:gridCol w:w="1650"/>
        <w:gridCol w:w="2126"/>
        <w:gridCol w:w="360"/>
        <w:gridCol w:w="360"/>
        <w:gridCol w:w="850"/>
        <w:gridCol w:w="1760"/>
        <w:gridCol w:w="1400"/>
      </w:tblGrid>
      <w:tr>
        <w:trPr>
          <w:tblHeader/>
        </w:trPr>
        <w:tc>
          <w:tcPr>
            <w:tcW w:type="dxa" w:w="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16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Arbeidsoperasjon</w:t>
            </w:r>
          </w:p>
        </w:tc>
        <w:tc>
          <w:tcPr>
            <w:tcW w:type="dxa" w:w="212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Fare / eksponering</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S</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K</w:t>
            </w:r>
          </w:p>
        </w:tc>
        <w:tc>
          <w:tcPr>
            <w:tcW w:type="dxa" w:w="8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w:t>
            </w:r>
          </w:p>
        </w:tc>
        <w:tc>
          <w:tcPr>
            <w:tcW w:type="dxa" w:w="17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G-01</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Tunge løft (mørtelsekker m.m.)</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Muskel- og skjelettskader</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T-15</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G-02</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Støy fra pigging</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Hørselsskade – langvarig eksponering</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T-14</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G-03</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Vær og vind på stillas</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Fall, hypotermi</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Inndekking, tilbaketrekking</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G-04</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El-installasjoner i fasade</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Elektrisk støt ved pigging</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1</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LAV</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Kartlegging av el-installasjoner før oppstart</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Byggherre + Ent.</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G-05</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EX-sone – NEL Hydrogen teststasjon i bygget</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Eksplosjon/brann ved hydrogen-utslipp til luft. Restriksjoner på varme og åpen flamme</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Se tiltak T-17. Prosedyre for EX-sone. Koordinering med NEL</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 + NEL</w:t>
            </w:r>
          </w:p>
        </w:tc>
      </w:tr>
    </w:tbl>
    <w:p>
      <w:pPr>
        <w:spacing w:after="80"/>
      </w:pPr>
      <w:r>
        <w:rPr>
          <w:sz w:val="8"/>
          <w:szCs w:val="8"/>
        </w:rPr>
        <w:t xml:space="preserve"/>
      </w:r>
    </w:p>
    <w:p>
      <w:pPr>
        <w:pStyle w:val="Heading2"/>
      </w:pPr>
      <w:r>
        <w:rPr>
          <w:b/>
          <w:bCs/>
          <w:i w:val="false"/>
          <w:iCs w:val="false"/>
          <w:sz w:val="24"/>
          <w:szCs w:val="24"/>
        </w:rPr>
        <w:t xml:space="preserve">5.6 Nikkeleksponering ved pigging av puss Blokk J (§ 5, § 8 c nr. 13) — HØY risiko</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6"/>
        <w:gridCol w:w="6520"/>
      </w:tblGrid>
      <w:tr>
        <w:trPr>
          <w:tblHeader/>
        </w:trPr>
        <w:tc>
          <w:tcPr>
            <w:tcW w:type="dxa" w:w="25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 5</w:t>
            </w:r>
          </w:p>
        </w:tc>
        <w:tc>
          <w:tcPr>
            <w:tcW w:type="dxa" w:w="6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iCs/>
                <w:sz w:val="17"/>
                <w:szCs w:val="17"/>
              </w:rPr>
              <w:t xml:space="preserve">Byggherren skal særlig vurdere arbeid som innebærer fare for helseskadelig eksponering for støv, gass, støy eller vibrasjoner – og treffe nødvendige tiltak for å redusere slik risiko.</w:t>
            </w:r>
          </w:p>
        </w:tc>
      </w:tr>
    </w:tbl>
    <w:p>
      <w:pPr>
        <w:spacing w:after="80"/>
      </w:pPr>
      <w:r>
        <w:rPr>
          <w:sz w:val="8"/>
          <w:szCs w:val="8"/>
        </w:rPr>
        <w:t xml:space="preserve"/>
      </w:r>
    </w:p>
    <w:p>
      <w:pPr>
        <w:spacing w:after="100"/>
      </w:pPr>
      <w:r>
        <w:rPr>
          <w:b w:val="false"/>
          <w:bCs w:val="false"/>
          <w:i/>
          <w:iCs/>
          <w:sz w:val="20"/>
          <w:szCs w:val="20"/>
        </w:rPr>
        <w:t xml:space="preserve">Eurofins-analyse av puss på Blokk J viser nikkelinnhold i klasse 5 (&gt; 1000 mg/kg). Nikkel er klassifisert som kreftfremkallende (IARC gruppe 1) ved innånding og som respiratorisk sensibilisator. Pigging av nikkelholdig puss frigjør respirabelt støv som kombinerer kvarts og nikkel. Byggherre vurderer dette som en vesentlig forsterket helsefare utover ren kvartseksponering, og har plikt til å innarbeide dette iht. § 6 — det kan ikke overlates til entreprenøren alene å risikovurdere. Se forsterkede tiltak T-18 til T-23 i pkt. 6.8.</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20"/>
        <w:gridCol w:w="1650"/>
        <w:gridCol w:w="2126"/>
        <w:gridCol w:w="360"/>
        <w:gridCol w:w="360"/>
        <w:gridCol w:w="850"/>
        <w:gridCol w:w="1760"/>
        <w:gridCol w:w="1400"/>
      </w:tblGrid>
      <w:tr>
        <w:trPr>
          <w:tblHeader/>
        </w:trPr>
        <w:tc>
          <w:tcPr>
            <w:tcW w:type="dxa" w:w="52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16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Arbeidsoperasjon</w:t>
            </w:r>
          </w:p>
        </w:tc>
        <w:tc>
          <w:tcPr>
            <w:tcW w:type="dxa" w:w="212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Fare / eksponering</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S</w:t>
            </w:r>
          </w:p>
        </w:tc>
        <w:tc>
          <w:tcPr>
            <w:tcW w:type="dxa" w:w="3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K</w:t>
            </w:r>
          </w:p>
        </w:tc>
        <w:tc>
          <w:tcPr>
            <w:tcW w:type="dxa" w:w="85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w:t>
            </w:r>
          </w:p>
        </w:tc>
        <w:tc>
          <w:tcPr>
            <w:tcW w:type="dxa" w:w="17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N-01</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Pigging av nikkelholdig puss Blokk J (242,9 m²)</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Respirabelt støv m/ nikkel og kvarts. Kreftfare (IARC gr. 1), respiratorisk sensibilisering</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HØY</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T-18 – T-22</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N-02</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Håndtering av nikkelholdig avfall (~5,83 tonn)</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Hudkontakt, søl, eksponering ved ompakking</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T-23</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N-03</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Spredning av nikkelholdig støv til tilstøtende areal</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Forurensning av rene soner, NEL-areal, naboeiendommer</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T-19, T-21</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2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N-04</w:t>
            </w:r>
          </w:p>
        </w:tc>
        <w:tc>
          <w:tcPr>
            <w:tcW w:type="dxa" w:w="16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Samtidig arbeid DK1 (pigging J) og DK2 (innvendig J) i samme sone</w:t>
            </w:r>
          </w:p>
        </w:tc>
        <w:tc>
          <w:tcPr>
            <w:tcW w:type="dxa" w:w="212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DK2-arbeidere eksponert for nikkel</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2</w:t>
            </w:r>
          </w:p>
        </w:tc>
        <w:tc>
          <w:tcPr>
            <w:tcW w:type="dxa" w:w="3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3</w:t>
            </w:r>
          </w:p>
        </w:tc>
        <w:tc>
          <w:tcPr>
            <w:tcW w:type="dxa" w:w="85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bCs/>
                <w:i w:val="false"/>
                <w:iCs w:val="false"/>
                <w:sz w:val="17"/>
                <w:szCs w:val="17"/>
              </w:rPr>
              <w:t xml:space="preserve">MIDDELS</w:t>
            </w:r>
          </w:p>
        </w:tc>
        <w:tc>
          <w:tcPr>
            <w:tcW w:type="dxa" w:w="17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T-19, sekvensering (F-22)</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KU + Ent.</w:t>
            </w:r>
          </w:p>
        </w:tc>
      </w:tr>
    </w:tbl>
    <w:p>
      <w:pPr>
        <w:spacing w:after="80"/>
      </w:pPr>
      <w:r>
        <w:rPr>
          <w:sz w:val="8"/>
          <w:szCs w:val="8"/>
        </w:rPr>
        <w:t xml:space="preserve"/>
      </w:r>
    </w:p>
    <w:p>
      <w:pPr>
        <w:pStyle w:val="Heading1"/>
      </w:pPr>
      <w:r>
        <w:rPr>
          <w:b/>
          <w:bCs/>
          <w:i w:val="false"/>
          <w:iCs w:val="false"/>
          <w:sz w:val="28"/>
          <w:szCs w:val="28"/>
        </w:rPr>
        <w:t xml:space="preserve">6. Spesifikke tiltak (§ 8 c)</w:t>
      </w:r>
    </w:p>
    <w:p>
      <w:pPr>
        <w:spacing w:after="100"/>
      </w:pPr>
      <w:r>
        <w:rPr>
          <w:b w:val="false"/>
          <w:bCs w:val="false"/>
          <w:i w:val="false"/>
          <w:iCs w:val="false"/>
          <w:sz w:val="20"/>
          <w:szCs w:val="20"/>
        </w:rPr>
        <w:t xml:space="preserve">Tiltakshierarkiet følger Arbeidstilsynets krav: eliminasjon/substitusjon → organisatoriske tiltak → tekniske tiltak → personlig verneutstyr (PVU). PVU er siste trinn og erstatter ikke øvrige tiltak, jf. Forskrift om utførelse av arbeid § 3-8.</w:t>
      </w:r>
    </w:p>
    <w:p>
      <w:pPr>
        <w:pStyle w:val="Heading2"/>
      </w:pPr>
      <w:r>
        <w:rPr>
          <w:b/>
          <w:bCs/>
          <w:i w:val="false"/>
          <w:iCs w:val="false"/>
          <w:sz w:val="24"/>
          <w:szCs w:val="24"/>
        </w:rPr>
        <w:t xml:space="preserve">6.1 Kvartsstøv – HØY risiko (§ 5 og § 8 c nr. 13)</w:t>
      </w:r>
    </w:p>
    <w:p>
      <w:pPr>
        <w:spacing w:after="100"/>
      </w:pPr>
      <w:r>
        <w:rPr>
          <w:b w:val="false"/>
          <w:bCs w:val="false"/>
          <w:i/>
          <w:iCs/>
          <w:sz w:val="20"/>
          <w:szCs w:val="20"/>
        </w:rPr>
        <w:t xml:space="preserve">Arbeidsgiver (entreprenøren) har hovedansvar for å sikre at arbeidstakere ikke eksponeres for kvartsstøv. Byggherre stiller følgende minimumskrav iht. § 6.</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60"/>
        <w:gridCol w:w="2300"/>
        <w:gridCol w:w="3606"/>
        <w:gridCol w:w="1160"/>
        <w:gridCol w:w="1400"/>
      </w:tblGrid>
      <w:tr>
        <w:trPr>
          <w:tblHeader/>
        </w:trPr>
        <w:tc>
          <w:tcPr>
            <w:tcW w:type="dxa" w:w="5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23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Risikoforhold</w:t>
            </w:r>
          </w:p>
        </w:tc>
        <w:tc>
          <w:tcPr>
            <w:tcW w:type="dxa" w:w="36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 (tiltakshierarki)</w:t>
            </w:r>
          </w:p>
        </w:tc>
        <w:tc>
          <w:tcPr>
            <w:tcW w:type="dxa" w:w="11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Frist</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T-01</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Kvartseksponering ved pigging</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Eliminasjon/substitusjon: Våtpigging vurderes for å binde støv. Tørrpigging krever støvoppsamling direkte ved kilden: industristøvsuger klasse H med HEPA-filter tilkoblet piggutstyret. Maskinforskriften vedlegg 1 pkt. 1.5.13 gjelder</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Før oppstart</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T-03</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Uvedkommende i støvsone</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Organisatorisk tiltak: Arbeidsområdet under pigging og sandblåsing avsperres og merkes. Uvedkommende skal ikke oppholde seg i sonen. Støvende arbeider koordineres slik at eksponert areal er minst mulig</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Alle operasjoner</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 / Bas</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T-04</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Metode for armeringsrensing</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Substitusjon: Leverandør foreslår og begrunner metode. Mekanisk rensing (roterende stålbørste m/støvoppsamling) vurderes som alternativ til sandblåsing. Sandblåsing krever lukket/inndekket sone og støvoppsamling</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Før oppstart</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T-05</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Risikovurdering steinstøv – entreprenørens plikt</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Organisatorisk tiltak: Entreprenøren utarbeider konkret risikovurdering for støveksponering, tilpasset arbeidsoppgavene. Fremlegges for byggherre senest 5 dager før oppstart. Geologiske/materielle undersøkelser (kvartsinnhold i betong) dokumenteres</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Før oppstart</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T-06</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PVU – kvartsstøv (siste trinn)</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Personlig verneutstyr: P3-halvmaske (FFP3) benyttes ved all pigging, sandblåsing og stenkapping. Støvtette vernebriller. Arbeidstøy som ikke sprer støv videre. PVU skal vedlikeholdes og kontrolleres. Erstatter ikke T-01 til T-05</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Alle støvoperasjoner</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bl>
    <w:p>
      <w:pPr>
        <w:spacing w:after="80"/>
      </w:pPr>
      <w:r>
        <w:rPr>
          <w:sz w:val="8"/>
          <w:szCs w:val="8"/>
        </w:rPr>
        <w:t xml:space="preserve"/>
      </w:r>
    </w:p>
    <w:p>
      <w:pPr>
        <w:pStyle w:val="Heading2"/>
      </w:pPr>
      <w:r>
        <w:rPr>
          <w:b/>
          <w:bCs/>
          <w:i w:val="false"/>
          <w:iCs w:val="false"/>
          <w:sz w:val="24"/>
          <w:szCs w:val="24"/>
        </w:rPr>
        <w:t xml:space="preserve">6.2 Fall og arbeid i høyden</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60"/>
        <w:gridCol w:w="2300"/>
        <w:gridCol w:w="3606"/>
        <w:gridCol w:w="1160"/>
        <w:gridCol w:w="1400"/>
      </w:tblGrid>
      <w:tr>
        <w:trPr>
          <w:tblHeader/>
        </w:trPr>
        <w:tc>
          <w:tcPr>
            <w:tcW w:type="dxa" w:w="5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23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Risikoforhold</w:t>
            </w:r>
          </w:p>
        </w:tc>
        <w:tc>
          <w:tcPr>
            <w:tcW w:type="dxa" w:w="36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 (tiltakshierarki)</w:t>
            </w:r>
          </w:p>
        </w:tc>
        <w:tc>
          <w:tcPr>
            <w:tcW w:type="dxa" w:w="11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Frist</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T-07</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Fall fra stillas</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Teknisk tiltak: Haki murstillas med utvendig trapp monteres og kontrolleres av kompetent personell iht. NS-EN 12811. Utvendig trapp er påkrevet – klatring på stillaset er forbudt. Stillasinspeksjon etter oppstart og etter uvær. Dekke med rekkverk (H ≥ 1,0 m) og sporkant. Brannsikker inndekningsduk (min. klasse B-s2,d0 el. tilsv.) – dokumentasjon fremlegges</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Før oppstart</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T-08</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Fallende gjenstander mot bakkeplan</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Teknisk tiltak: Bakkeplan under arbeidsområdet avsperres. Vernehjelm påbudt i hele byggeplassområdet. Vernenett på stillas ved behov. Parkerte biler flyttes fra faresone</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Oppstart – ferdig</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 / Byggherre</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T-09</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Åpne vindusåpninger</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Teknisk tiltak: Vindusåpninger midlertidig sikres inntil nye vinduer er montert</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Etter fjerning</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bl>
    <w:p>
      <w:pPr>
        <w:spacing w:after="80"/>
      </w:pPr>
      <w:r>
        <w:rPr>
          <w:sz w:val="8"/>
          <w:szCs w:val="8"/>
        </w:rPr>
        <w:t xml:space="preserve"/>
      </w:r>
    </w:p>
    <w:p>
      <w:pPr>
        <w:pStyle w:val="Heading2"/>
      </w:pPr>
      <w:r>
        <w:rPr>
          <w:b/>
          <w:bCs/>
          <w:i w:val="false"/>
          <w:iCs w:val="false"/>
          <w:sz w:val="24"/>
          <w:szCs w:val="24"/>
        </w:rPr>
        <w:t xml:space="preserve">6.3 Kjemisk eksponering – maling</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60"/>
        <w:gridCol w:w="2300"/>
        <w:gridCol w:w="3606"/>
        <w:gridCol w:w="1160"/>
        <w:gridCol w:w="1400"/>
      </w:tblGrid>
      <w:tr>
        <w:trPr>
          <w:tblHeader/>
        </w:trPr>
        <w:tc>
          <w:tcPr>
            <w:tcW w:type="dxa" w:w="5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23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Risikoforhold</w:t>
            </w:r>
          </w:p>
        </w:tc>
        <w:tc>
          <w:tcPr>
            <w:tcW w:type="dxa" w:w="36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 (tiltakshierarki)</w:t>
            </w:r>
          </w:p>
        </w:tc>
        <w:tc>
          <w:tcPr>
            <w:tcW w:type="dxa" w:w="11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Frist</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T-10</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Rustmidler og overflatebehandling</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Organisatorisk tiltak: Sikkerhetsdatablad (SDS) for alle produkter skal foreligge og gjennomgås på oppstartsmøte. Arbeid med rustmidler gjennomføres med tilstrekkelig ventilasjon</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Før oppstart</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T-11</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Maling og fixativ</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PVU: Kjemikalieresistente hansker, vernebriller og åndedrettsvern ved sprøyting iht. SDS</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Malingsarbeid</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bl>
    <w:p>
      <w:pPr>
        <w:spacing w:after="80"/>
      </w:pPr>
      <w:r>
        <w:rPr>
          <w:sz w:val="8"/>
          <w:szCs w:val="8"/>
        </w:rPr>
        <w:t xml:space="preserve"/>
      </w:r>
    </w:p>
    <w:p>
      <w:pPr>
        <w:pStyle w:val="Heading2"/>
      </w:pPr>
      <w:r>
        <w:rPr>
          <w:b/>
          <w:bCs/>
          <w:i w:val="false"/>
          <w:iCs w:val="false"/>
          <w:sz w:val="24"/>
          <w:szCs w:val="24"/>
        </w:rPr>
        <w:t xml:space="preserve">6.4 Antikvariske arbeider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60"/>
        <w:gridCol w:w="2300"/>
        <w:gridCol w:w="3606"/>
        <w:gridCol w:w="1160"/>
        <w:gridCol w:w="1400"/>
      </w:tblGrid>
      <w:tr>
        <w:trPr>
          <w:tblHeader/>
        </w:trPr>
        <w:tc>
          <w:tcPr>
            <w:tcW w:type="dxa" w:w="5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23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Risikoforhold</w:t>
            </w:r>
          </w:p>
        </w:tc>
        <w:tc>
          <w:tcPr>
            <w:tcW w:type="dxa" w:w="36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 (tiltakshierarki)</w:t>
            </w:r>
          </w:p>
        </w:tc>
        <w:tc>
          <w:tcPr>
            <w:tcW w:type="dxa" w:w="11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Frist</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T-13</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Skade på fredede bygningsdeler</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Organisatorisk tiltak: Alle reparasjonspunkter avklares skriftlig med prosjektleder (PL) og fotograferes før arbeid igangsettes. Dispensasjonsvilkår fra TFK gjennomgås på oppstartsmøte. Fotodokumentasjon før og etter alle inngrep</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Alle faser</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 + PL</w:t>
            </w:r>
          </w:p>
        </w:tc>
      </w:tr>
    </w:tbl>
    <w:p>
      <w:pPr>
        <w:spacing w:after="80"/>
      </w:pPr>
      <w:r>
        <w:rPr>
          <w:sz w:val="8"/>
          <w:szCs w:val="8"/>
        </w:rPr>
        <w:t xml:space="preserve"/>
      </w:r>
    </w:p>
    <w:p>
      <w:pPr>
        <w:pStyle w:val="Heading2"/>
      </w:pPr>
      <w:r>
        <w:rPr>
          <w:b/>
          <w:bCs/>
          <w:i w:val="false"/>
          <w:iCs w:val="false"/>
          <w:sz w:val="24"/>
          <w:szCs w:val="24"/>
        </w:rPr>
        <w:t xml:space="preserve">6.5 Støy og løft</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60"/>
        <w:gridCol w:w="2300"/>
        <w:gridCol w:w="3606"/>
        <w:gridCol w:w="1160"/>
        <w:gridCol w:w="1400"/>
      </w:tblGrid>
      <w:tr>
        <w:trPr>
          <w:tblHeader/>
        </w:trPr>
        <w:tc>
          <w:tcPr>
            <w:tcW w:type="dxa" w:w="5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23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Risikoforhold</w:t>
            </w:r>
          </w:p>
        </w:tc>
        <w:tc>
          <w:tcPr>
            <w:tcW w:type="dxa" w:w="36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 (tiltakshierarki)</w:t>
            </w:r>
          </w:p>
        </w:tc>
        <w:tc>
          <w:tcPr>
            <w:tcW w:type="dxa" w:w="11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Frist</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T-14</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Støy fra pigging</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Teknisk tiltak: Støysvake metoder velges der mulig. Hørselsvern (SNR ≥ 25 dB) ved pigging. Naboer varsles. Pigging begrenses til hverdager 07–18</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Piggingsperiode</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T-15</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Tunge løft</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Teknisk tiltak: Maks manuelt løft 25 kg per person. Hjelpemidler (trillevogn, heisekran på stillas) benyttes for tyngre last</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Hele perioden</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 / Bas</w:t>
            </w:r>
          </w:p>
        </w:tc>
      </w:tr>
    </w:tbl>
    <w:p>
      <w:pPr>
        <w:spacing w:after="80"/>
      </w:pPr>
      <w:r>
        <w:rPr>
          <w:sz w:val="8"/>
          <w:szCs w:val="8"/>
        </w:rPr>
        <w:t xml:space="preserve"/>
      </w:r>
    </w:p>
    <w:p>
      <w:pPr>
        <w:pStyle w:val="Heading2"/>
      </w:pPr>
      <w:r>
        <w:rPr>
          <w:b/>
          <w:bCs/>
          <w:i w:val="false"/>
          <w:iCs w:val="false"/>
          <w:sz w:val="24"/>
          <w:szCs w:val="24"/>
        </w:rPr>
        <w:t xml:space="preserve">6.6 Oppsamling og håndtering av vaskevann – KEIM Dispersion-Remover</w:t>
      </w:r>
    </w:p>
    <w:p>
      <w:pPr>
        <w:spacing w:after="100"/>
      </w:pPr>
      <w:r>
        <w:rPr>
          <w:b w:val="false"/>
          <w:bCs w:val="false"/>
          <w:i w:val="false"/>
          <w:iCs w:val="false"/>
          <w:sz w:val="20"/>
          <w:szCs w:val="20"/>
        </w:rPr>
        <w:t xml:space="preserve">Ved rengjøring av metallvinduer med KEIM Dispersion-Remover oppstår vaskevann med malingrester klassifisert som farlig avfall (avfallskode 08 01 11</w:t>
      </w:r>
      <w:r>
        <w:rPr>
          <w:b w:val="false"/>
          <w:bCs w:val="false"/>
          <w:i/>
          <w:iCs/>
          <w:sz w:val="20"/>
          <w:szCs w:val="20"/>
        </w:rPr>
        <w:t xml:space="preserve">). Kravene nedenfor er basert på KEIMs eget produktdokument (Vedlegg F).</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60"/>
        <w:gridCol w:w="2300"/>
        <w:gridCol w:w="3606"/>
        <w:gridCol w:w="1160"/>
        <w:gridCol w:w="1400"/>
      </w:tblGrid>
      <w:tr>
        <w:trPr>
          <w:tblHeader/>
        </w:trPr>
        <w:tc>
          <w:tcPr>
            <w:tcW w:type="dxa" w:w="5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23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Risikoforhold</w:t>
            </w:r>
          </w:p>
        </w:tc>
        <w:tc>
          <w:tcPr>
            <w:tcW w:type="dxa" w:w="36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 (tiltakshierarki)</w:t>
            </w:r>
          </w:p>
        </w:tc>
        <w:tc>
          <w:tcPr>
            <w:tcW w:type="dxa" w:w="11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Frist</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T-16</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Vaskevann – KEIM Dispersion-Remover (08 01 11</w:t>
            </w:r>
            <w:r>
              <w:rPr>
                <w:b w:val="false"/>
                <w:bCs w:val="false"/>
                <w:i/>
                <w:iCs/>
                <w:sz w:val="17"/>
                <w:szCs w:val="17"/>
              </w:rPr>
              <w:t xml:space="preserve">)</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Oppsamlingsløsninger etableres på arbeidsområdet – vaskevann skal IKKE slippes til sluk, overvann, terreng eller vassdrag. Ved naturlig fall: ledes til oppsamlingskar via plast/matter. Uten fall: midlertidige barrierer + våtsuger/pumpe. Vaskevann og malingrester/slam separeres og leveres som farlig avfall (08 01 11</w:t>
            </w:r>
            <w:r>
              <w:rPr>
                <w:b w:val="false"/>
                <w:bCs w:val="false"/>
                <w:i/>
                <w:iCs/>
                <w:sz w:val="17"/>
                <w:szCs w:val="17"/>
              </w:rPr>
              <w:t xml:space="preserve">) til godkjent mottak. SDS og teknisk datablad for KEIM Dispersion-Remover skal foreligge på byggeplassen (Vedlegg F).</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Før malingsarbeid</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bl>
    <w:p>
      <w:pPr>
        <w:spacing w:after="80"/>
      </w:pPr>
      <w:r>
        <w:rPr>
          <w:sz w:val="8"/>
          <w:szCs w:val="8"/>
        </w:rPr>
        <w:t xml:space="preserve"/>
      </w:r>
    </w:p>
    <w:p>
      <w:pPr>
        <w:spacing w:after="100"/>
      </w:pPr>
      <w:r>
        <w:rPr>
          <w:b w:val="false"/>
          <w:bCs w:val="false"/>
          <w:i/>
          <w:iCs/>
          <w:sz w:val="20"/>
          <w:szCs w:val="20"/>
        </w:rPr>
        <w:t xml:space="preserve">Referansedokument: KEIM – Oppsamling og håndtering av vaskevann ved bruk av KEIM Dispersion-Remover (Vedlegg F). Avfallskode: 08 01 11</w:t>
      </w:r>
      <w:r>
        <w:rPr>
          <w:b w:val="false"/>
          <w:bCs w:val="false"/>
          <w:i w:val="false"/>
          <w:iCs w:val="false"/>
          <w:sz w:val="20"/>
          <w:szCs w:val="20"/>
        </w:rPr>
        <w:t xml:space="preserve"> – Maling- og lakkavfall som inneholder organiske løsemidler eller andre farlige stoffer.*</w:t>
      </w:r>
    </w:p>
    <w:p>
      <w:pPr>
        <w:pStyle w:val="Heading2"/>
      </w:pPr>
      <w:r>
        <w:rPr>
          <w:b/>
          <w:bCs/>
          <w:i w:val="false"/>
          <w:iCs w:val="false"/>
          <w:sz w:val="24"/>
          <w:szCs w:val="24"/>
        </w:rPr>
        <w:t xml:space="preserve">6.7 EX-sone – hydrogen (NEL Hydrogen)</w:t>
      </w:r>
    </w:p>
    <w:p>
      <w:pPr>
        <w:spacing w:after="100"/>
      </w:pPr>
      <w:r>
        <w:rPr>
          <w:b w:val="false"/>
          <w:bCs w:val="false"/>
          <w:i w:val="false"/>
          <w:iCs w:val="false"/>
          <w:sz w:val="20"/>
          <w:szCs w:val="20"/>
        </w:rPr>
        <w:t xml:space="preserve">NEL Hydrogen bruker bygget som teststasjon og produserer hydrogen. Hydrogen kan slippes til luft, noe som kan gjøre deler av arbeidsområdet til EX-sone der bruk av varme og åpen flamme er forbudt.</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60"/>
        <w:gridCol w:w="2300"/>
        <w:gridCol w:w="3606"/>
        <w:gridCol w:w="1160"/>
        <w:gridCol w:w="1400"/>
      </w:tblGrid>
      <w:tr>
        <w:trPr>
          <w:tblHeader/>
        </w:trPr>
        <w:tc>
          <w:tcPr>
            <w:tcW w:type="dxa" w:w="5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23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Risikoforhold</w:t>
            </w:r>
          </w:p>
        </w:tc>
        <w:tc>
          <w:tcPr>
            <w:tcW w:type="dxa" w:w="36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 (tiltakshierarki)</w:t>
            </w:r>
          </w:p>
        </w:tc>
        <w:tc>
          <w:tcPr>
            <w:tcW w:type="dxa" w:w="11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Frist</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T-17</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EX-sone – hydrogen fra NEL Hydrogen</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Organisatorisk tiltak: Leverandøren skal utarbeide prosedyre for EX-sone i samarbeid med NEL Hydrogen og byggherre. Ved varslet hydrogen-utslipp stanses arbeider med varme og åpen flamme umiddelbart. Alle håndverkere informeres om EX-sone-rutiner på oppstartsmøtet. Stikkontakter og el-utstyr i EX-sone skal tilfredsstille ATEX-kravene.</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Før oppstart</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 + NEL</w:t>
            </w:r>
          </w:p>
        </w:tc>
      </w:tr>
    </w:tbl>
    <w:p>
      <w:pPr>
        <w:spacing w:after="80"/>
      </w:pPr>
      <w:r>
        <w:rPr>
          <w:sz w:val="8"/>
          <w:szCs w:val="8"/>
        </w:rPr>
        <w:t xml:space="preserve"/>
      </w:r>
    </w:p>
    <w:p>
      <w:pPr>
        <w:pStyle w:val="Heading2"/>
      </w:pPr>
      <w:r>
        <w:rPr>
          <w:b/>
          <w:bCs/>
          <w:i w:val="false"/>
          <w:iCs w:val="false"/>
          <w:sz w:val="24"/>
          <w:szCs w:val="24"/>
        </w:rPr>
        <w:t xml:space="preserve">6.8 Nikkeleksponering Blokk J – HØY risiko (§ 5 og § 8 c nr. 13)</w:t>
      </w:r>
    </w:p>
    <w:p>
      <w:pPr>
        <w:spacing w:after="100"/>
      </w:pPr>
      <w:r>
        <w:rPr>
          <w:b w:val="false"/>
          <w:bCs w:val="false"/>
          <w:i/>
          <w:iCs/>
          <w:sz w:val="20"/>
          <w:szCs w:val="20"/>
        </w:rPr>
        <w:t xml:space="preserve">Tiltakene gjelder spesifikt for pigging og avfallshåndtering på Blokk J, hvor nikkelinnhold &gt; 1000 mg/kg (Eurofins, klasse 5). Tiltakene erstatter ikke kvartstiltakene i pkt. 6.1 — de kommer i tillegg. Byggherre stiller følgende minimumskrav iht. § 6.</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60"/>
        <w:gridCol w:w="2300"/>
        <w:gridCol w:w="3606"/>
        <w:gridCol w:w="1160"/>
        <w:gridCol w:w="1400"/>
      </w:tblGrid>
      <w:tr>
        <w:trPr>
          <w:tblHeader/>
        </w:trPr>
        <w:tc>
          <w:tcPr>
            <w:tcW w:type="dxa" w:w="5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Nr.</w:t>
            </w:r>
          </w:p>
        </w:tc>
        <w:tc>
          <w:tcPr>
            <w:tcW w:type="dxa" w:w="23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Risikoforhold</w:t>
            </w:r>
          </w:p>
        </w:tc>
        <w:tc>
          <w:tcPr>
            <w:tcW w:type="dxa" w:w="3606"/>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Tiltak (tiltakshierarki)</w:t>
            </w:r>
          </w:p>
        </w:tc>
        <w:tc>
          <w:tcPr>
            <w:tcW w:type="dxa" w:w="116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Frist</w:t>
            </w:r>
          </w:p>
        </w:tc>
        <w:tc>
          <w:tcPr>
            <w:tcW w:type="dxa" w:w="1400"/>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Ansvar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T-18</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Substitusjon der mulig</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Substitusjon: Våtpigging vurderes for å binde nikkelholdig støv. Der tørrpigging må benyttes: kontinuerlig punktavsug ved kilden med industristøvsuger klasse H og HEPA-filter, tilkoblet piggutstyret. Maskinforskriften vedlegg 1 pkt. 1.5.13</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Før oppstart J</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T-19</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Innkapsling av arbeidssone</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Teknisk: Arbeidssonen Blokk J inndekkes tett (innside og utside av stillas) slik at nikkelholdig støv ikke spres til omgivelsene. Undertrykk opprettholdes via avtrekk. Innvendig arbeid (DK2) skal ikke pågå i berørt sone under pigging (F-22)</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Pigging J</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 + KU</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T-20</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Luftforsynt åndedrettsvern (FFP3 IKKE tilstrekkelig)</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PVU forsterket: Ved pigging av nikkelholdig puss benyttes luftforsynt åndedrettsvern (helmaske med tilført ren luft, klasse TH3 eller bedre). FFP3 fra T-06 er IKKE tilstrekkelig ved nikkeleksponering. Heldekkende engangsdress med hette</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Pigging J</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T-21</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Rengjøring og dekontaminering</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Teknisk + organisatorisk: Daglig rengjøring av arbeidssonen med H-støvsuger. Arbeidstøy fra Blokk J holdes adskilt fra øvrig arbeidstøy og vaskes separat eller behandles som forurenset. Skifte i adskilt garderobe (uren → ren sone via dusj/vask). Engangsdresser kastes som farlig avfall</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Daglig (pigging)</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T-22</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Helseoppfølging og eksponeringsmålinger</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Organisatorisk: Arbeidstakere som eksponeres for nikkelholdig støv inkluderes i målrettet helseundersøkelse iht. Forskrift om utførelse av arbeid kap. 14. Eksponeringsmålinger (luftprøver) gjennomføres etter arbeidsgivers risikovurdering ved oppstart og minst én gang i utførelsesperioden</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Hele J-perioden</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r>
        <w:trPr>
          <w:tblHeader w:val="false"/>
        </w:trPr>
        <w:tc>
          <w:tcPr>
            <w:tcW w:type="dxa" w:w="5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T-23</w:t>
            </w:r>
          </w:p>
        </w:tc>
        <w:tc>
          <w:tcPr>
            <w:tcW w:type="dxa" w:w="23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Avfallshåndtering nikkelholdig puss (~5,83 tonn)</w:t>
            </w:r>
          </w:p>
        </w:tc>
        <w:tc>
          <w:tcPr>
            <w:tcW w:type="dxa" w:w="3606"/>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Teknisk: Pigget puss samles direkte i tette big-bags/konteinere merket «Farlig avfall — nikkel — NS-kode 7051 — Blokk J». Veiesedler dokumenteres. Levering til godkjent mottak (deklareres i Avfallsdeklarering.no). Rene masser holdes adskilt — ingen blanding</w:t>
            </w:r>
          </w:p>
        </w:tc>
        <w:tc>
          <w:tcPr>
            <w:tcW w:type="dxa" w:w="116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Hele J-perioden</w:t>
            </w:r>
          </w:p>
        </w:tc>
        <w:tc>
          <w:tcPr>
            <w:tcW w:type="dxa" w:w="1400"/>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Entreprenør</w:t>
            </w:r>
          </w:p>
        </w:tc>
      </w:tr>
    </w:tbl>
    <w:p>
      <w:pPr>
        <w:spacing w:after="80"/>
      </w:pPr>
      <w:r>
        <w:rPr>
          <w:sz w:val="8"/>
          <w:szCs w:val="8"/>
        </w:rPr>
        <w:t xml:space="preserve"/>
      </w:r>
    </w:p>
    <w:p>
      <w:pPr>
        <w:pStyle w:val="Heading1"/>
      </w:pPr>
      <w:r>
        <w:rPr>
          <w:b/>
          <w:bCs/>
          <w:i w:val="false"/>
          <w:iCs w:val="false"/>
          <w:sz w:val="28"/>
          <w:szCs w:val="28"/>
        </w:rPr>
        <w:t xml:space="preserve">7. Opplæring og informasjon</w:t>
      </w:r>
    </w:p>
    <w:p>
      <w:pPr>
        <w:spacing w:after="100"/>
      </w:pPr>
      <w:r>
        <w:rPr>
          <w:b w:val="false"/>
          <w:bCs w:val="false"/>
          <w:i w:val="false"/>
          <w:iCs w:val="false"/>
          <w:sz w:val="20"/>
          <w:szCs w:val="20"/>
        </w:rPr>
        <w:t xml:space="preserve">Arbeidsgiver har ansvar for at egne arbeidstakere og verneombud er informert om risikoene på prosjektet, jf. Arbeidstilsynets tilsynskrav.</w:t>
      </w:r>
    </w:p>
    <w:p>
      <w:pPr>
        <w:pStyle w:val="ListParagraph"/>
        <w:numPr>
          <w:ilvl w:val="0"/>
          <w:numId w:val="2"/>
        </w:numPr>
        <w:spacing w:after="40"/>
      </w:pPr>
      <w:r>
        <w:rPr>
          <w:b w:val="false"/>
          <w:bCs w:val="false"/>
          <w:i w:val="false"/>
          <w:iCs w:val="false"/>
          <w:sz w:val="20"/>
          <w:szCs w:val="20"/>
        </w:rPr>
        <w:t xml:space="preserve">Alle arbeidstakere gjennomgår SHA-plan og risikovurdering før oppstart – bekreftes med signatur</w:t>
      </w:r>
    </w:p>
    <w:p>
      <w:pPr>
        <w:pStyle w:val="ListParagraph"/>
        <w:numPr>
          <w:ilvl w:val="0"/>
          <w:numId w:val="2"/>
        </w:numPr>
        <w:spacing w:after="40"/>
      </w:pPr>
      <w:r>
        <w:rPr>
          <w:b w:val="false"/>
          <w:bCs w:val="false"/>
          <w:i w:val="false"/>
          <w:iCs w:val="false"/>
          <w:sz w:val="20"/>
          <w:szCs w:val="20"/>
        </w:rPr>
        <w:t xml:space="preserve">Spesifikk opplæring i bruk av H-støvsuger, HEPA-filter og FFP3-maske er gjennomført og dokumentert</w:t>
      </w:r>
    </w:p>
    <w:p>
      <w:pPr>
        <w:pStyle w:val="ListParagraph"/>
        <w:numPr>
          <w:ilvl w:val="0"/>
          <w:numId w:val="2"/>
        </w:numPr>
        <w:spacing w:after="40"/>
      </w:pPr>
      <w:r>
        <w:rPr>
          <w:b w:val="false"/>
          <w:bCs w:val="false"/>
          <w:i w:val="false"/>
          <w:iCs w:val="false"/>
          <w:sz w:val="20"/>
          <w:szCs w:val="20"/>
        </w:rPr>
        <w:t xml:space="preserve">Opplæring i antikvariske krav og dispensasjonsvilkår fra TFK</w:t>
      </w:r>
    </w:p>
    <w:p>
      <w:pPr>
        <w:pStyle w:val="ListParagraph"/>
        <w:numPr>
          <w:ilvl w:val="0"/>
          <w:numId w:val="2"/>
        </w:numPr>
        <w:spacing w:after="40"/>
      </w:pPr>
      <w:r>
        <w:rPr>
          <w:b w:val="false"/>
          <w:bCs w:val="false"/>
          <w:i w:val="false"/>
          <w:iCs w:val="false"/>
          <w:sz w:val="20"/>
          <w:szCs w:val="20"/>
        </w:rPr>
        <w:t xml:space="preserve">Lærling veiledes av fagarbeider under alle støvgenererende operasjoner</w:t>
      </w:r>
    </w:p>
    <w:p>
      <w:pPr>
        <w:pStyle w:val="ListParagraph"/>
        <w:numPr>
          <w:ilvl w:val="0"/>
          <w:numId w:val="2"/>
        </w:numPr>
        <w:spacing w:after="40"/>
      </w:pPr>
      <w:r>
        <w:rPr>
          <w:b w:val="false"/>
          <w:bCs w:val="false"/>
          <w:i w:val="false"/>
          <w:iCs w:val="false"/>
          <w:sz w:val="20"/>
          <w:szCs w:val="20"/>
        </w:rPr>
        <w:t xml:space="preserve">Verneombud utpekes av entreprenør og har tilgang til SHA-planen. Verneombud har rett til å stanse farlig arbeid, jf. aml. § 6-3</w:t>
      </w:r>
    </w:p>
    <w:p>
      <w:pPr>
        <w:pStyle w:val="Heading2"/>
      </w:pPr>
      <w:r>
        <w:rPr>
          <w:b/>
          <w:bCs/>
          <w:i w:val="false"/>
          <w:iCs w:val="false"/>
          <w:sz w:val="24"/>
          <w:szCs w:val="24"/>
        </w:rPr>
        <w:t xml:space="preserve">7.2 Minstekrav til verneutstyr og vernetøy (jf. kontraktsgrunnlag D.3.5)</w:t>
      </w:r>
    </w:p>
    <w:p>
      <w:pPr>
        <w:spacing w:after="100"/>
      </w:pPr>
      <w:r>
        <w:rPr>
          <w:b w:val="false"/>
          <w:bCs w:val="false"/>
          <w:i w:val="false"/>
          <w:iCs w:val="false"/>
          <w:sz w:val="20"/>
          <w:szCs w:val="20"/>
        </w:rPr>
        <w:t xml:space="preserve">Minstekrav til vernetøy:</w:t>
      </w:r>
    </w:p>
    <w:p>
      <w:pPr>
        <w:pStyle w:val="ListParagraph"/>
        <w:numPr>
          <w:ilvl w:val="0"/>
          <w:numId w:val="2"/>
        </w:numPr>
        <w:spacing w:after="40"/>
      </w:pPr>
      <w:r>
        <w:rPr>
          <w:b w:val="false"/>
          <w:bCs w:val="false"/>
          <w:i w:val="false"/>
          <w:iCs w:val="false"/>
          <w:sz w:val="20"/>
          <w:szCs w:val="20"/>
        </w:rPr>
        <w:t xml:space="preserve">Lang vernebukse og verne-vest eller -jakke, alternativt kjeledress</w:t>
      </w:r>
    </w:p>
    <w:p>
      <w:pPr>
        <w:spacing w:after="100"/>
      </w:pPr>
      <w:r>
        <w:rPr>
          <w:b w:val="false"/>
          <w:bCs w:val="false"/>
          <w:i w:val="false"/>
          <w:iCs w:val="false"/>
          <w:sz w:val="20"/>
          <w:szCs w:val="20"/>
        </w:rPr>
        <w:t xml:space="preserve">Minstekrav til verneutstyr:</w:t>
      </w:r>
    </w:p>
    <w:p>
      <w:pPr>
        <w:pStyle w:val="ListParagraph"/>
        <w:numPr>
          <w:ilvl w:val="0"/>
          <w:numId w:val="2"/>
        </w:numPr>
        <w:spacing w:after="40"/>
      </w:pPr>
      <w:r>
        <w:rPr>
          <w:b w:val="false"/>
          <w:bCs w:val="false"/>
          <w:i w:val="false"/>
          <w:iCs w:val="false"/>
          <w:sz w:val="20"/>
          <w:szCs w:val="20"/>
        </w:rPr>
        <w:t xml:space="preserve">Hjelm (NS-EN 397)</w:t>
      </w:r>
    </w:p>
    <w:p>
      <w:pPr>
        <w:pStyle w:val="ListParagraph"/>
        <w:numPr>
          <w:ilvl w:val="0"/>
          <w:numId w:val="2"/>
        </w:numPr>
        <w:spacing w:after="40"/>
      </w:pPr>
      <w:r>
        <w:rPr>
          <w:b w:val="false"/>
          <w:bCs w:val="false"/>
          <w:i w:val="false"/>
          <w:iCs w:val="false"/>
          <w:sz w:val="20"/>
          <w:szCs w:val="20"/>
        </w:rPr>
        <w:t xml:space="preserve">Vernesko</w:t>
      </w:r>
    </w:p>
    <w:p>
      <w:pPr>
        <w:pStyle w:val="ListParagraph"/>
        <w:numPr>
          <w:ilvl w:val="0"/>
          <w:numId w:val="2"/>
        </w:numPr>
        <w:spacing w:after="40"/>
      </w:pPr>
      <w:r>
        <w:rPr>
          <w:b w:val="false"/>
          <w:bCs w:val="false"/>
          <w:i w:val="false"/>
          <w:iCs w:val="false"/>
          <w:sz w:val="20"/>
          <w:szCs w:val="20"/>
        </w:rPr>
        <w:t xml:space="preserve">Vernehansker</w:t>
      </w:r>
    </w:p>
    <w:p>
      <w:pPr>
        <w:pStyle w:val="ListParagraph"/>
        <w:numPr>
          <w:ilvl w:val="0"/>
          <w:numId w:val="2"/>
        </w:numPr>
        <w:spacing w:after="40"/>
      </w:pPr>
      <w:r>
        <w:rPr>
          <w:b w:val="false"/>
          <w:bCs w:val="false"/>
          <w:i w:val="false"/>
          <w:iCs w:val="false"/>
          <w:sz w:val="20"/>
          <w:szCs w:val="20"/>
        </w:rPr>
        <w:t xml:space="preserve">Vernebriller eller øyevern</w:t>
      </w:r>
    </w:p>
    <w:p>
      <w:pPr>
        <w:pStyle w:val="ListParagraph"/>
        <w:numPr>
          <w:ilvl w:val="0"/>
          <w:numId w:val="2"/>
        </w:numPr>
        <w:spacing w:after="40"/>
      </w:pPr>
      <w:r>
        <w:rPr>
          <w:b w:val="false"/>
          <w:bCs w:val="false"/>
          <w:i w:val="false"/>
          <w:iCs w:val="false"/>
          <w:sz w:val="20"/>
          <w:szCs w:val="20"/>
        </w:rPr>
        <w:t xml:space="preserve">Støvmaske (FFP3) eller friskluftsmaske ved støvende arbeider – pigging, riving, rengjøring</w:t>
      </w:r>
    </w:p>
    <w:p>
      <w:pPr>
        <w:pStyle w:val="ListParagraph"/>
        <w:numPr>
          <w:ilvl w:val="0"/>
          <w:numId w:val="2"/>
        </w:numPr>
        <w:spacing w:after="40"/>
      </w:pPr>
      <w:r>
        <w:rPr>
          <w:b w:val="false"/>
          <w:bCs w:val="false"/>
          <w:i w:val="false"/>
          <w:iCs w:val="false"/>
          <w:sz w:val="20"/>
          <w:szCs w:val="20"/>
        </w:rPr>
        <w:t xml:space="preserve">Hørselvern ved støy over 80 dB</w:t>
      </w:r>
    </w:p>
    <w:p>
      <w:pPr>
        <w:spacing w:after="100"/>
      </w:pPr>
      <w:r>
        <w:rPr>
          <w:b/>
          <w:bCs/>
          <w:i w:val="false"/>
          <w:iCs w:val="false"/>
          <w:sz w:val="20"/>
          <w:szCs w:val="20"/>
        </w:rPr>
        <w:t xml:space="preserve">Oppstartsmøte avholdes før anleggsstart. Agenda:</w:t>
      </w:r>
    </w:p>
    <w:p>
      <w:pPr>
        <w:pStyle w:val="ListParagraph"/>
        <w:numPr>
          <w:ilvl w:val="0"/>
          <w:numId w:val="2"/>
        </w:numPr>
        <w:spacing w:after="40"/>
      </w:pPr>
      <w:r>
        <w:rPr>
          <w:b w:val="false"/>
          <w:bCs w:val="false"/>
          <w:i w:val="false"/>
          <w:iCs w:val="false"/>
          <w:sz w:val="20"/>
          <w:szCs w:val="20"/>
        </w:rPr>
        <w:t xml:space="preserve">Gjennomgang av SHA-plan og risikovurdering</w:t>
      </w:r>
    </w:p>
    <w:p>
      <w:pPr>
        <w:pStyle w:val="ListParagraph"/>
        <w:numPr>
          <w:ilvl w:val="0"/>
          <w:numId w:val="2"/>
        </w:numPr>
        <w:spacing w:after="40"/>
      </w:pPr>
      <w:r>
        <w:rPr>
          <w:b w:val="false"/>
          <w:bCs w:val="false"/>
          <w:i w:val="false"/>
          <w:iCs w:val="false"/>
          <w:sz w:val="20"/>
          <w:szCs w:val="20"/>
        </w:rPr>
        <w:t xml:space="preserve">Dispensasjonsvilkår fra TFK (antikvariske krav)</w:t>
      </w:r>
    </w:p>
    <w:p>
      <w:pPr>
        <w:pStyle w:val="ListParagraph"/>
        <w:numPr>
          <w:ilvl w:val="0"/>
          <w:numId w:val="2"/>
        </w:numPr>
        <w:spacing w:after="40"/>
      </w:pPr>
      <w:r>
        <w:rPr>
          <w:b w:val="false"/>
          <w:bCs w:val="false"/>
          <w:i w:val="false"/>
          <w:iCs w:val="false"/>
          <w:sz w:val="20"/>
          <w:szCs w:val="20"/>
        </w:rPr>
        <w:t xml:space="preserve">Gjennomgang av krav til vaskevann KEIM Dispersion-Remover (T-16) – avfallskode 08 01 11*</w:t>
      </w:r>
    </w:p>
    <w:p>
      <w:pPr>
        <w:pStyle w:val="ListParagraph"/>
        <w:numPr>
          <w:ilvl w:val="0"/>
          <w:numId w:val="2"/>
        </w:numPr>
        <w:spacing w:after="40"/>
      </w:pPr>
      <w:r>
        <w:rPr>
          <w:b w:val="false"/>
          <w:bCs w:val="false"/>
          <w:i w:val="false"/>
          <w:iCs w:val="false"/>
          <w:sz w:val="20"/>
          <w:szCs w:val="20"/>
        </w:rPr>
        <w:t xml:space="preserve">Rutiner for avviksmelding og stansing av farlig arbeid</w:t>
      </w:r>
    </w:p>
    <w:p>
      <w:pPr>
        <w:pStyle w:val="ListParagraph"/>
        <w:numPr>
          <w:ilvl w:val="0"/>
          <w:numId w:val="2"/>
        </w:numPr>
        <w:spacing w:after="40"/>
      </w:pPr>
      <w:r>
        <w:rPr>
          <w:b w:val="false"/>
          <w:bCs w:val="false"/>
          <w:i w:val="false"/>
          <w:iCs w:val="false"/>
          <w:sz w:val="20"/>
          <w:szCs w:val="20"/>
        </w:rPr>
        <w:t xml:space="preserve">Nødprosedyrer og beredskapsplan</w:t>
      </w:r>
    </w:p>
    <w:p>
      <w:pPr>
        <w:pStyle w:val="Heading1"/>
      </w:pPr>
      <w:r>
        <w:rPr>
          <w:b/>
          <w:bCs/>
          <w:i w:val="false"/>
          <w:iCs w:val="false"/>
          <w:sz w:val="28"/>
          <w:szCs w:val="28"/>
        </w:rPr>
        <w:t xml:space="preserve">8. Sanitær- og velferdsforhold</w:t>
      </w:r>
    </w:p>
    <w:p>
      <w:pPr>
        <w:spacing w:after="100"/>
      </w:pPr>
      <w:r>
        <w:rPr>
          <w:b w:val="false"/>
          <w:bCs w:val="false"/>
          <w:i w:val="false"/>
          <w:iCs w:val="false"/>
          <w:sz w:val="20"/>
          <w:szCs w:val="20"/>
        </w:rPr>
        <w:t xml:space="preserve">Iht. Arbeidstilsynets tilsynskrav skal byggeplassen ha tilfredsstillende toalett-, garderobe-, vaske- og spisemuligheter. Særlig viktig ved kvartsstøv: ren sone (spise/hvile) skal holdes atskilt fra uren sone (arbeid/lagring), slik at støv ikke bringes inn i spisearealer.</w:t>
      </w:r>
    </w:p>
    <w:p>
      <w:pPr>
        <w:pStyle w:val="ListParagraph"/>
        <w:numPr>
          <w:ilvl w:val="0"/>
          <w:numId w:val="2"/>
        </w:numPr>
        <w:spacing w:after="40"/>
      </w:pPr>
      <w:r>
        <w:rPr>
          <w:b w:val="false"/>
          <w:bCs w:val="false"/>
          <w:i w:val="false"/>
          <w:iCs w:val="false"/>
          <w:sz w:val="20"/>
          <w:szCs w:val="20"/>
        </w:rPr>
        <w:t xml:space="preserve">Toalett: Byggtoalett etableres på rigg ved oppstart</w:t>
      </w:r>
    </w:p>
    <w:p>
      <w:pPr>
        <w:pStyle w:val="ListParagraph"/>
        <w:numPr>
          <w:ilvl w:val="0"/>
          <w:numId w:val="2"/>
        </w:numPr>
        <w:spacing w:after="40"/>
      </w:pPr>
      <w:r>
        <w:rPr>
          <w:b w:val="false"/>
          <w:bCs w:val="false"/>
          <w:i w:val="false"/>
          <w:iCs w:val="false"/>
          <w:sz w:val="20"/>
          <w:szCs w:val="20"/>
        </w:rPr>
        <w:t xml:space="preserve">Garderobe: Ren og uren sone adskilles. Arbeidstøy med støv beholdes i uren sone</w:t>
      </w:r>
    </w:p>
    <w:p>
      <w:pPr>
        <w:pStyle w:val="ListParagraph"/>
        <w:numPr>
          <w:ilvl w:val="0"/>
          <w:numId w:val="2"/>
        </w:numPr>
        <w:spacing w:after="40"/>
      </w:pPr>
      <w:r>
        <w:rPr>
          <w:b w:val="false"/>
          <w:bCs w:val="false"/>
          <w:i w:val="false"/>
          <w:iCs w:val="false"/>
          <w:sz w:val="20"/>
          <w:szCs w:val="20"/>
        </w:rPr>
        <w:t xml:space="preserve">Vask: Håndvask og mulighet for å vaske ansikt etter støvgenererende arbeider</w:t>
      </w:r>
    </w:p>
    <w:p>
      <w:pPr>
        <w:pStyle w:val="ListParagraph"/>
        <w:numPr>
          <w:ilvl w:val="0"/>
          <w:numId w:val="2"/>
        </w:numPr>
        <w:spacing w:after="40"/>
      </w:pPr>
      <w:r>
        <w:rPr>
          <w:b w:val="false"/>
          <w:bCs w:val="false"/>
          <w:i w:val="false"/>
          <w:iCs w:val="false"/>
          <w:sz w:val="20"/>
          <w:szCs w:val="20"/>
        </w:rPr>
        <w:t xml:space="preserve">Spise- og hvilerom: Brakke eller tilsvarende – atskilt fra arbeidsarealer</w:t>
      </w:r>
    </w:p>
    <w:p>
      <w:pPr>
        <w:pStyle w:val="ListParagraph"/>
        <w:numPr>
          <w:ilvl w:val="0"/>
          <w:numId w:val="2"/>
        </w:numPr>
        <w:spacing w:after="40"/>
      </w:pPr>
      <w:r>
        <w:rPr>
          <w:b w:val="false"/>
          <w:bCs w:val="false"/>
          <w:i w:val="false"/>
          <w:iCs w:val="false"/>
          <w:sz w:val="20"/>
          <w:szCs w:val="20"/>
        </w:rPr>
        <w:t xml:space="preserve">Drikkevann tilgjengelig på byggeplass</w:t>
      </w:r>
    </w:p>
    <w:p>
      <w:pPr>
        <w:pStyle w:val="Heading1"/>
      </w:pPr>
      <w:r>
        <w:rPr>
          <w:b/>
          <w:bCs/>
          <w:i w:val="false"/>
          <w:iCs w:val="false"/>
          <w:sz w:val="28"/>
          <w:szCs w:val="28"/>
        </w:rPr>
        <w:t xml:space="preserve">9. Beredskap og nødprosedyrer</w:t>
      </w:r>
    </w:p>
    <w:p>
      <w:pPr>
        <w:pStyle w:val="ListParagraph"/>
        <w:numPr>
          <w:ilvl w:val="0"/>
          <w:numId w:val="2"/>
        </w:numPr>
        <w:spacing w:after="40"/>
      </w:pPr>
      <w:r>
        <w:rPr>
          <w:b w:val="false"/>
          <w:bCs w:val="false"/>
          <w:i w:val="false"/>
          <w:iCs w:val="false"/>
          <w:sz w:val="20"/>
          <w:szCs w:val="20"/>
        </w:rPr>
        <w:t xml:space="preserve">Nærmeste legevakt / sykehus: [Navn og adresse]</w:t>
      </w:r>
    </w:p>
    <w:p>
      <w:pPr>
        <w:pStyle w:val="ListParagraph"/>
        <w:numPr>
          <w:ilvl w:val="0"/>
          <w:numId w:val="2"/>
        </w:numPr>
        <w:spacing w:after="40"/>
      </w:pPr>
      <w:r>
        <w:rPr>
          <w:b w:val="false"/>
          <w:bCs w:val="false"/>
          <w:i w:val="false"/>
          <w:iCs w:val="false"/>
          <w:sz w:val="20"/>
          <w:szCs w:val="20"/>
        </w:rPr>
        <w:t xml:space="preserve">Nødnummer: 113 (ambulanse) | 110 (brann) | 112 (politi)</w:t>
      </w:r>
    </w:p>
    <w:p>
      <w:pPr>
        <w:pStyle w:val="ListParagraph"/>
        <w:numPr>
          <w:ilvl w:val="0"/>
          <w:numId w:val="2"/>
        </w:numPr>
        <w:spacing w:after="40"/>
      </w:pPr>
      <w:r>
        <w:rPr>
          <w:b w:val="false"/>
          <w:bCs w:val="false"/>
          <w:i w:val="false"/>
          <w:iCs w:val="false"/>
          <w:sz w:val="20"/>
          <w:szCs w:val="20"/>
        </w:rPr>
        <w:t xml:space="preserve">Brannslukker og førstehjelpsutsstyr: Finnes på rigg – sted angis på byggeplasskart</w:t>
      </w:r>
    </w:p>
    <w:p>
      <w:pPr>
        <w:pStyle w:val="ListParagraph"/>
        <w:numPr>
          <w:ilvl w:val="0"/>
          <w:numId w:val="2"/>
        </w:numPr>
        <w:spacing w:after="40"/>
      </w:pPr>
      <w:r>
        <w:rPr>
          <w:b w:val="false"/>
          <w:bCs w:val="false"/>
          <w:i w:val="false"/>
          <w:iCs w:val="false"/>
          <w:sz w:val="20"/>
          <w:szCs w:val="20"/>
        </w:rPr>
        <w:t xml:space="preserve">Ved ulykke: Varsle bas og SHA-koordinator umiddelbart. Alvorlige ulykker meldes Arbeidstilsynet iht. aml. § 5-2</w:t>
      </w:r>
    </w:p>
    <w:p>
      <w:pPr>
        <w:pStyle w:val="ListParagraph"/>
        <w:numPr>
          <w:ilvl w:val="0"/>
          <w:numId w:val="2"/>
        </w:numPr>
        <w:spacing w:after="40"/>
      </w:pPr>
      <w:r>
        <w:rPr>
          <w:b w:val="false"/>
          <w:bCs w:val="false"/>
          <w:i w:val="false"/>
          <w:iCs w:val="false"/>
          <w:sz w:val="20"/>
          <w:szCs w:val="20"/>
        </w:rPr>
        <w:t xml:space="preserve">Stansing av farlig arbeid: Enhver arbeidstaker og verneombud har rett og plikt til å stanse arbeid som innebærer overhengende fare, jf. aml. § 6-3</w:t>
      </w:r>
    </w:p>
    <w:p>
      <w:pPr>
        <w:pStyle w:val="Heading1"/>
      </w:pPr>
      <w:r>
        <w:rPr>
          <w:b/>
          <w:bCs/>
          <w:i w:val="false"/>
          <w:iCs w:val="false"/>
          <w:sz w:val="28"/>
          <w:szCs w:val="28"/>
        </w:rPr>
        <w:t xml:space="preserve">10. Avviksbehandling og revisjon (§ 14)</w:t>
      </w:r>
    </w:p>
    <w:p>
      <w:pPr>
        <w:spacing w:after="100"/>
      </w:pPr>
      <w:r>
        <w:rPr>
          <w:b w:val="false"/>
          <w:bCs w:val="false"/>
          <w:i w:val="false"/>
          <w:iCs w:val="false"/>
          <w:sz w:val="20"/>
          <w:szCs w:val="20"/>
        </w:rPr>
        <w:t xml:space="preserve">SHA-koordinator (KU) er ansvarlig for å ajourføre SHA-planen, jf. § 14.</w:t>
      </w:r>
    </w:p>
    <w:p>
      <w:pPr>
        <w:pStyle w:val="ListParagraph"/>
        <w:numPr>
          <w:ilvl w:val="0"/>
          <w:numId w:val="2"/>
        </w:numPr>
        <w:spacing w:after="40"/>
      </w:pPr>
      <w:r>
        <w:rPr>
          <w:b w:val="false"/>
          <w:bCs w:val="false"/>
          <w:i w:val="false"/>
          <w:iCs w:val="false"/>
          <w:sz w:val="20"/>
          <w:szCs w:val="20"/>
        </w:rPr>
        <w:t xml:space="preserve">Avvik meldes skriftlig til SHA-koordinator innen 24 timer</w:t>
      </w:r>
    </w:p>
    <w:p>
      <w:pPr>
        <w:pStyle w:val="ListParagraph"/>
        <w:numPr>
          <w:ilvl w:val="0"/>
          <w:numId w:val="2"/>
        </w:numPr>
        <w:spacing w:after="40"/>
      </w:pPr>
      <w:r>
        <w:rPr>
          <w:b w:val="false"/>
          <w:bCs w:val="false"/>
          <w:i w:val="false"/>
          <w:iCs w:val="false"/>
          <w:sz w:val="20"/>
          <w:szCs w:val="20"/>
        </w:rPr>
        <w:t xml:space="preserve">SHA-plan revideres og distribueres ved endringer i prosjektet, etter ulykker/nestenulykker, eller når nye risikoforhold avdekkes</w:t>
      </w:r>
    </w:p>
    <w:p>
      <w:pPr>
        <w:pStyle w:val="ListParagraph"/>
        <w:numPr>
          <w:ilvl w:val="0"/>
          <w:numId w:val="2"/>
        </w:numPr>
        <w:spacing w:after="40"/>
      </w:pPr>
      <w:r>
        <w:rPr>
          <w:b w:val="false"/>
          <w:bCs w:val="false"/>
          <w:i w:val="false"/>
          <w:iCs w:val="false"/>
          <w:sz w:val="20"/>
          <w:szCs w:val="20"/>
        </w:rPr>
        <w:t xml:space="preserve">Vernerunder og vernemøter gjennomføres minst hver 14. dag, fortrinnsvis i forbindelse med byggemøter. Protokoll føres av entreprenør.</w:t>
      </w:r>
    </w:p>
    <w:p>
      <w:pPr>
        <w:pStyle w:val="ListParagraph"/>
        <w:numPr>
          <w:ilvl w:val="0"/>
          <w:numId w:val="2"/>
        </w:numPr>
        <w:spacing w:after="40"/>
      </w:pPr>
      <w:r>
        <w:rPr>
          <w:b w:val="false"/>
          <w:bCs w:val="false"/>
          <w:i w:val="false"/>
          <w:iCs w:val="false"/>
          <w:sz w:val="20"/>
          <w:szCs w:val="20"/>
        </w:rPr>
        <w:t xml:space="preserve">Byggherrens representant skal innkalles til vernemøter og vernerunder.</w:t>
      </w:r>
    </w:p>
    <w:p>
      <w:pPr>
        <w:pStyle w:val="ListParagraph"/>
        <w:numPr>
          <w:ilvl w:val="0"/>
          <w:numId w:val="2"/>
        </w:numPr>
        <w:spacing w:after="40"/>
      </w:pPr>
      <w:r>
        <w:rPr>
          <w:b w:val="false"/>
          <w:bCs w:val="false"/>
          <w:i w:val="false"/>
          <w:iCs w:val="false"/>
          <w:sz w:val="20"/>
          <w:szCs w:val="20"/>
        </w:rPr>
        <w:t xml:space="preserve">SHA-plan er tilgjengelig på byggeplassen til enhver tid</w:t>
      </w:r>
    </w:p>
    <w:p>
      <w:pPr>
        <w:pStyle w:val="Heading1"/>
      </w:pPr>
      <w:r>
        <w:rPr>
          <w:b/>
          <w:bCs/>
          <w:i w:val="false"/>
          <w:iCs w:val="false"/>
          <w:sz w:val="28"/>
          <w:szCs w:val="28"/>
        </w:rPr>
        <w:t xml:space="preserve">11. Signatur og distribusjon</w:t>
      </w:r>
    </w:p>
    <w:p>
      <w:pPr>
        <w:spacing w:after="100"/>
      </w:pPr>
      <w:r>
        <w:rPr>
          <w:b w:val="false"/>
          <w:bCs w:val="false"/>
          <w:i w:val="false"/>
          <w:iCs w:val="false"/>
          <w:sz w:val="20"/>
          <w:szCs w:val="20"/>
        </w:rPr>
        <w:t xml:space="preserve">SHA-planen er utarbeidet av byggherre og skal signeres av ansvarlige parter som bekreftelse på at innholdet er kjent og akseptert.</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8"/>
        <w:gridCol w:w="3009"/>
        <w:gridCol w:w="3009"/>
      </w:tblGrid>
      <w:tr>
        <w:trPr>
          <w:tblHeader/>
        </w:trPr>
        <w:tc>
          <w:tcPr>
            <w:tcW w:type="dxa" w:w="3008"/>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Rolle</w:t>
            </w:r>
          </w:p>
        </w:tc>
        <w:tc>
          <w:tcPr>
            <w:tcW w:type="dxa" w:w="3009"/>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Navn og firma</w:t>
            </w:r>
          </w:p>
        </w:tc>
        <w:tc>
          <w:tcPr>
            <w:tcW w:type="dxa" w:w="3009"/>
            <w:tcBorders>
              <w:top w:val="single" w:color="BBBBBB" w:sz="4"/>
              <w:left w:val="single" w:color="BBBBBB" w:sz="4"/>
              <w:bottom w:val="single" w:color="BBBBBB" w:sz="4"/>
              <w:right w:val="single" w:color="BBBBBB" w:sz="4"/>
            </w:tcBorders>
            <w:shd w:fill="D9E2F3" w:val="clear"/>
            <w:tcMar>
              <w:top w:type="dxa" w:w="50"/>
              <w:left w:type="dxa" w:w="90"/>
              <w:bottom w:type="dxa" w:w="50"/>
              <w:right w:type="dxa" w:w="90"/>
            </w:tcMar>
          </w:tcPr>
          <w:p>
            <w:r>
              <w:rPr>
                <w:b/>
                <w:bCs/>
                <w:i w:val="false"/>
                <w:iCs w:val="false"/>
                <w:sz w:val="17"/>
                <w:szCs w:val="17"/>
              </w:rPr>
              <w:t xml:space="preserve">Signatur / dato</w:t>
            </w:r>
          </w:p>
        </w:tc>
      </w:tr>
      <w:tr>
        <w:trPr>
          <w:tblHeader w:val="false"/>
        </w:trPr>
        <w:tc>
          <w:tcPr>
            <w:tcW w:type="dxa" w:w="3008"/>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Byggherre / prosjektleder</w:t>
            </w:r>
          </w:p>
        </w:tc>
        <w:tc>
          <w:tcPr>
            <w:tcW w:type="dxa" w:w="3009"/>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c>
          <w:tcPr>
            <w:tcW w:type="dxa" w:w="3009"/>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r>
      <w:tr>
        <w:trPr>
          <w:tblHeader w:val="false"/>
        </w:trPr>
        <w:tc>
          <w:tcPr>
            <w:tcW w:type="dxa" w:w="3008"/>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SHA-koordinator utførelse (KU)</w:t>
            </w:r>
          </w:p>
        </w:tc>
        <w:tc>
          <w:tcPr>
            <w:tcW w:type="dxa" w:w="3009"/>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c>
          <w:tcPr>
            <w:tcW w:type="dxa" w:w="3009"/>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r>
      <w:tr>
        <w:trPr>
          <w:tblHeader w:val="false"/>
        </w:trPr>
        <w:tc>
          <w:tcPr>
            <w:tcW w:type="dxa" w:w="3008"/>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Hovedbedrift (murermester)</w:t>
            </w:r>
          </w:p>
        </w:tc>
        <w:tc>
          <w:tcPr>
            <w:tcW w:type="dxa" w:w="3009"/>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c>
          <w:tcPr>
            <w:tcW w:type="dxa" w:w="3009"/>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r>
      <w:tr>
        <w:trPr>
          <w:tblHeader w:val="false"/>
        </w:trPr>
        <w:tc>
          <w:tcPr>
            <w:tcW w:type="dxa" w:w="3008"/>
            <w:tcBorders>
              <w:top w:val="single" w:color="BBBBBB" w:sz="4"/>
              <w:left w:val="single" w:color="BBBBBB" w:sz="4"/>
              <w:bottom w:val="single" w:color="BBBBBB" w:sz="4"/>
              <w:right w:val="single" w:color="BBBBBB" w:sz="4"/>
            </w:tcBorders>
            <w:tcMar>
              <w:top w:type="dxa" w:w="50"/>
              <w:left w:type="dxa" w:w="90"/>
              <w:bottom w:type="dxa" w:w="50"/>
              <w:right w:type="dxa" w:w="90"/>
            </w:tcMar>
          </w:tcPr>
          <w:p>
            <w:r>
              <w:rPr>
                <w:b w:val="false"/>
                <w:bCs w:val="false"/>
                <w:i w:val="false"/>
                <w:iCs w:val="false"/>
                <w:sz w:val="17"/>
                <w:szCs w:val="17"/>
              </w:rPr>
              <w:t xml:space="preserve">Verneombud</w:t>
            </w:r>
          </w:p>
        </w:tc>
        <w:tc>
          <w:tcPr>
            <w:tcW w:type="dxa" w:w="3009"/>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c>
          <w:tcPr>
            <w:tcW w:type="dxa" w:w="3009"/>
            <w:tcBorders>
              <w:top w:val="single" w:color="BBBBBB" w:sz="4"/>
              <w:left w:val="single" w:color="BBBBBB" w:sz="4"/>
              <w:bottom w:val="single" w:color="BBBBBB" w:sz="4"/>
              <w:right w:val="single" w:color="BBBBBB" w:sz="4"/>
            </w:tcBorders>
            <w:tcMar>
              <w:top w:type="dxa" w:w="50"/>
              <w:left w:type="dxa" w:w="90"/>
              <w:bottom w:type="dxa" w:w="50"/>
              <w:right w:type="dxa" w:w="90"/>
            </w:tcMar>
          </w:tcPr>
          <w:p>
            <w:r>
              <w:rPr>
                <w:sz w:val="17"/>
                <w:szCs w:val="17"/>
              </w:rPr>
              <w:t xml:space="preserve"/>
            </w:r>
          </w:p>
        </w:tc>
      </w:tr>
    </w:tbl>
    <w:p>
      <w:pPr>
        <w:spacing w:after="80"/>
      </w:pPr>
      <w:r>
        <w:rPr>
          <w:sz w:val="8"/>
          <w:szCs w:val="8"/>
        </w:rPr>
        <w:t xml:space="preserve"/>
      </w:r>
    </w:p>
    <w:p>
      <w:pPr>
        <w:spacing w:after="100"/>
      </w:pPr>
      <w:r>
        <w:rPr>
          <w:b w:val="false"/>
          <w:bCs w:val="false"/>
          <w:i/>
          <w:iCs/>
          <w:sz w:val="20"/>
          <w:szCs w:val="20"/>
        </w:rPr>
        <w:t xml:space="preserve">Distribusjon: Byggherre, SHA-koordinator (KP og KU), Hovedbedrift, Verneombud, Antikvarisk myndighet (TFK). En kopi oppbevares på byggeplassen til enhver tid.</w:t>
      </w:r>
    </w:p>
    <w:p>
      <w:pPr>
        <w:pStyle w:val="Heading2"/>
      </w:pPr>
      <w:r>
        <w:rPr>
          <w:b/>
          <w:bCs/>
          <w:i w:val="false"/>
          <w:iCs w:val="false"/>
          <w:sz w:val="24"/>
          <w:szCs w:val="24"/>
        </w:rPr>
        <w:t xml:space="preserve">Vedleggsoversikt</w:t>
      </w:r>
    </w:p>
    <w:p>
      <w:pPr>
        <w:spacing w:after="100"/>
      </w:pPr>
      <w:r>
        <w:rPr>
          <w:b w:val="false"/>
          <w:bCs w:val="false"/>
          <w:i w:val="false"/>
          <w:iCs w:val="false"/>
          <w:sz w:val="20"/>
          <w:szCs w:val="20"/>
        </w:rPr>
        <w:t xml:space="preserve">Følgende dokumenter er vedlagt SHA-planen:</w:t>
      </w:r>
    </w:p>
    <w:p>
      <w:pPr>
        <w:pStyle w:val="ListParagraph"/>
        <w:numPr>
          <w:ilvl w:val="0"/>
          <w:numId w:val="2"/>
        </w:numPr>
        <w:spacing w:after="40"/>
      </w:pPr>
      <w:r>
        <w:rPr>
          <w:b w:val="false"/>
          <w:bCs w:val="false"/>
          <w:i w:val="false"/>
          <w:iCs w:val="false"/>
          <w:sz w:val="20"/>
          <w:szCs w:val="20"/>
        </w:rPr>
        <w:t xml:space="preserve">Vedlegg A – Situasjonsplan</w:t>
      </w:r>
    </w:p>
    <w:p>
      <w:pPr>
        <w:pStyle w:val="ListParagraph"/>
        <w:numPr>
          <w:ilvl w:val="0"/>
          <w:numId w:val="2"/>
        </w:numPr>
        <w:spacing w:after="40"/>
      </w:pPr>
      <w:r>
        <w:rPr>
          <w:b w:val="false"/>
          <w:bCs w:val="false"/>
          <w:i w:val="false"/>
          <w:iCs w:val="false"/>
          <w:sz w:val="20"/>
          <w:szCs w:val="20"/>
        </w:rPr>
        <w:t xml:space="preserve">Vedlegg B – A40-101 Fasade Sør (hele sørfasaden inkl. Blokk J), Sør Arkitekter AS, 02.06.2026</w:t>
      </w:r>
    </w:p>
    <w:p>
      <w:pPr>
        <w:pStyle w:val="ListParagraph"/>
        <w:numPr>
          <w:ilvl w:val="0"/>
          <w:numId w:val="2"/>
        </w:numPr>
        <w:spacing w:after="40"/>
      </w:pPr>
      <w:r>
        <w:rPr>
          <w:b w:val="false"/>
          <w:bCs w:val="false"/>
          <w:i w:val="false"/>
          <w:iCs w:val="false"/>
          <w:sz w:val="20"/>
          <w:szCs w:val="20"/>
        </w:rPr>
        <w:t xml:space="preserve">Vedlegg C – Dispensasjon / tillatelse fra Telemark fylkeskommune (TFK)</w:t>
      </w:r>
    </w:p>
    <w:p>
      <w:pPr>
        <w:pStyle w:val="ListParagraph"/>
        <w:numPr>
          <w:ilvl w:val="0"/>
          <w:numId w:val="2"/>
        </w:numPr>
        <w:spacing w:after="40"/>
      </w:pPr>
      <w:r>
        <w:rPr>
          <w:b w:val="false"/>
          <w:bCs w:val="false"/>
          <w:i w:val="false"/>
          <w:iCs w:val="false"/>
          <w:sz w:val="20"/>
          <w:szCs w:val="20"/>
        </w:rPr>
        <w:t xml:space="preserve">Vedlegg E – Sikkerhetsdatablad (SDS) for produkter benyttet på prosjektet</w:t>
      </w:r>
    </w:p>
    <w:p>
      <w:pPr>
        <w:pStyle w:val="ListParagraph"/>
        <w:numPr>
          <w:ilvl w:val="0"/>
          <w:numId w:val="2"/>
        </w:numPr>
        <w:spacing w:after="40"/>
      </w:pPr>
      <w:r>
        <w:rPr>
          <w:b w:val="false"/>
          <w:bCs w:val="false"/>
          <w:i w:val="false"/>
          <w:iCs w:val="false"/>
          <w:sz w:val="20"/>
          <w:szCs w:val="20"/>
        </w:rPr>
        <w:t xml:space="preserve">Vedlegg F – KEIM: Oppsamling og håndtering av vaskevann ved bruk av KEIM Dispersion-Remover</w:t>
      </w:r>
    </w:p>
    <w:p>
      <w:pPr>
        <w:pStyle w:val="ListParagraph"/>
        <w:numPr>
          <w:ilvl w:val="0"/>
          <w:numId w:val="2"/>
        </w:numPr>
        <w:spacing w:after="40"/>
      </w:pPr>
      <w:r>
        <w:rPr>
          <w:b w:val="false"/>
          <w:bCs w:val="false"/>
          <w:i w:val="false"/>
          <w:iCs w:val="false"/>
          <w:sz w:val="20"/>
          <w:szCs w:val="20"/>
        </w:rPr>
        <w:t xml:space="preserve">Vedlegg G – Eurofins miljøanalyse Blokk J – nikkelinnhold i puss (klasse 5, &gt; 1000 mg/kg). Grunnlag for tiltak T-18 til T-23.</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888888"/>
        <w:sz w:val="16"/>
        <w:szCs w:val="16"/>
      </w:rPr>
      <w:t xml:space="preserve">Side </w:t>
    </w:r>
    <w:r>
      <w:rPr>
        <w:color w:val="888888"/>
        <w:sz w:val="16"/>
        <w:szCs w:val="16"/>
      </w:rPr>
      <w:fldChar w:fldCharType="begin"/>
      <w:instrText xml:space="preserve">PAGE</w:instrText>
      <w:fldChar w:fldCharType="separate"/>
      <w:fldChar w:fldCharType="end"/>
    </w:r>
    <w:r>
      <w:rPr>
        <w:color w:val="888888"/>
        <w:sz w:val="16"/>
        <w:szCs w:val="16"/>
      </w:rPr>
      <w:t xml:space="preserve"> av </w:t>
    </w:r>
    <w:r>
      <w:rPr>
        <w:color w:val="88888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888888"/>
        <w:sz w:val="16"/>
        <w:szCs w:val="16"/>
      </w:rPr>
      <w:t xml:space="preserve">SHA-plan – Bygg 160, fasade sør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1F3864" w:sz="6" w:space="2"/>
      </w:pBdr>
      <w:spacing w:after="140" w:before="280"/>
      <w:outlineLvl w:val="0"/>
    </w:pPr>
    <w:rPr>
      <w:rFonts w:ascii="Arial" w:cs="Arial" w:eastAsia="Arial" w:hAnsi="Arial"/>
      <w:b/>
      <w:bCs/>
      <w:color w:val="1F3864"/>
      <w:sz w:val="28"/>
      <w:szCs w:val="28"/>
    </w:rPr>
  </w:style>
  <w:style w:type="paragraph" w:styleId="Heading2">
    <w:name w:val="Heading 2"/>
    <w:basedOn w:val="Normal"/>
    <w:next w:val="Normal"/>
    <w:qFormat/>
    <w:pPr>
      <w:spacing w:after="100" w:before="200"/>
      <w:outlineLvl w:val="1"/>
    </w:pPr>
    <w:rPr>
      <w:rFonts w:ascii="Arial" w:cs="Arial" w:eastAsia="Arial" w:hAnsi="Arial"/>
      <w:b/>
      <w:bCs/>
      <w:color w:val="2E549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2026-06-01T10:26:35.618Z</dcterms:created>
  <dcterms:modified xsi:type="dcterms:W3CDTF">2026-06-01T10:26:35.639Z</dcterms:modified>
</cp:coreProperties>
</file>

<file path=docProps/custom.xml><?xml version="1.0" encoding="utf-8"?>
<Properties xmlns="http://schemas.openxmlformats.org/officeDocument/2006/custom-properties" xmlns:vt="http://schemas.openxmlformats.org/officeDocument/2006/docPropsVTypes"/>
</file>